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ind w:right="-315" w:rightChars="-150"/>
        <w:jc w:val="center"/>
        <w:rPr>
          <w:rFonts w:ascii="仿宋" w:hAnsi="仿宋" w:eastAsia="仿宋" w:cs="仿宋"/>
          <w:b/>
          <w:bCs/>
          <w:color w:val="auto"/>
          <w:sz w:val="92"/>
          <w:szCs w:val="92"/>
          <w:u w:val="single"/>
          <w:vertAlign w:val="subscript"/>
        </w:rPr>
      </w:pPr>
    </w:p>
    <w:p>
      <w:pPr>
        <w:keepNext w:val="0"/>
        <w:keepLines w:val="0"/>
        <w:pageBreakBefore w:val="0"/>
        <w:widowControl w:val="0"/>
        <w:kinsoku/>
        <w:wordWrap/>
        <w:overflowPunct/>
        <w:topLinePunct w:val="0"/>
        <w:autoSpaceDE/>
        <w:autoSpaceDN/>
        <w:bidi w:val="0"/>
        <w:adjustRightInd/>
        <w:snapToGrid/>
        <w:spacing w:line="700" w:lineRule="exact"/>
        <w:jc w:val="center"/>
        <w:textAlignment w:val="auto"/>
        <w:rPr>
          <w:rFonts w:hint="eastAsia" w:ascii="仿宋" w:hAnsi="仿宋" w:eastAsia="仿宋" w:cs="仿宋"/>
          <w:b/>
          <w:bCs/>
          <w:color w:val="auto"/>
          <w:sz w:val="44"/>
          <w:szCs w:val="44"/>
          <w:lang w:eastAsia="zh-CN"/>
        </w:rPr>
      </w:pPr>
      <w:r>
        <w:rPr>
          <w:rFonts w:hint="eastAsia" w:ascii="宋体" w:hAnsi="宋体" w:eastAsia="仿宋" w:cs="宋体"/>
          <w:b/>
          <w:bCs/>
          <w:color w:val="auto"/>
          <w:spacing w:val="-10"/>
          <w:sz w:val="44"/>
          <w:szCs w:val="44"/>
          <w:lang w:eastAsia="zh-CN"/>
        </w:rPr>
        <w:t>滁州市区公共领域车辆电动化基础设施—低速新能源车充电设施项目跟踪审计</w:t>
      </w:r>
    </w:p>
    <w:p>
      <w:pPr>
        <w:spacing w:line="400" w:lineRule="atLeast"/>
        <w:jc w:val="center"/>
        <w:rPr>
          <w:rFonts w:ascii="仿宋" w:hAnsi="仿宋" w:eastAsia="仿宋" w:cs="仿宋"/>
          <w:b/>
          <w:bCs/>
          <w:color w:val="auto"/>
          <w:sz w:val="72"/>
          <w:szCs w:val="72"/>
        </w:rPr>
      </w:pPr>
      <w:r>
        <w:rPr>
          <w:rFonts w:hint="eastAsia" w:ascii="宋体" w:hAnsi="宋体" w:cs="宋体"/>
          <w:b/>
          <w:bCs/>
          <w:color w:val="auto"/>
          <w:sz w:val="72"/>
          <w:szCs w:val="72"/>
        </w:rPr>
        <w:t>招标文件</w:t>
      </w:r>
    </w:p>
    <w:p>
      <w:pPr>
        <w:spacing w:line="480" w:lineRule="exact"/>
        <w:rPr>
          <w:rFonts w:ascii="仿宋" w:hAnsi="仿宋" w:eastAsia="仿宋" w:cs="仿宋"/>
          <w:b/>
          <w:bCs/>
          <w:color w:val="auto"/>
          <w:sz w:val="44"/>
          <w:szCs w:val="44"/>
        </w:rPr>
      </w:pPr>
    </w:p>
    <w:p>
      <w:pPr>
        <w:spacing w:line="480" w:lineRule="exact"/>
        <w:ind w:firstLine="643" w:firstLineChars="200"/>
        <w:jc w:val="center"/>
        <w:rPr>
          <w:rFonts w:ascii="仿宋" w:hAnsi="仿宋" w:eastAsia="仿宋" w:cs="仿宋"/>
          <w:b/>
          <w:bCs/>
          <w:color w:val="auto"/>
          <w:sz w:val="32"/>
          <w:szCs w:val="32"/>
        </w:rPr>
      </w:pPr>
    </w:p>
    <w:p>
      <w:pPr>
        <w:spacing w:line="480" w:lineRule="exact"/>
        <w:ind w:firstLine="472" w:firstLineChars="147"/>
        <w:rPr>
          <w:rFonts w:ascii="仿宋" w:hAnsi="仿宋" w:eastAsia="仿宋" w:cs="仿宋"/>
          <w:b/>
          <w:bCs/>
          <w:color w:val="auto"/>
          <w:sz w:val="32"/>
          <w:szCs w:val="32"/>
        </w:rPr>
      </w:pPr>
    </w:p>
    <w:p>
      <w:pPr>
        <w:spacing w:line="480" w:lineRule="exact"/>
        <w:ind w:firstLine="472" w:firstLineChars="147"/>
        <w:rPr>
          <w:rFonts w:ascii="仿宋" w:hAnsi="仿宋" w:eastAsia="仿宋" w:cs="仿宋"/>
          <w:b/>
          <w:bCs/>
          <w:color w:val="auto"/>
          <w:sz w:val="32"/>
          <w:szCs w:val="32"/>
        </w:rPr>
      </w:pPr>
    </w:p>
    <w:p>
      <w:pPr>
        <w:spacing w:line="480" w:lineRule="exact"/>
        <w:rPr>
          <w:rFonts w:ascii="仿宋" w:hAnsi="仿宋" w:eastAsia="仿宋" w:cs="仿宋"/>
          <w:b/>
          <w:bCs/>
          <w:color w:val="auto"/>
          <w:sz w:val="32"/>
          <w:szCs w:val="32"/>
        </w:rPr>
      </w:pPr>
    </w:p>
    <w:p>
      <w:pPr>
        <w:spacing w:line="480" w:lineRule="exact"/>
        <w:rPr>
          <w:rFonts w:ascii="仿宋" w:hAnsi="仿宋" w:eastAsia="仿宋" w:cs="仿宋"/>
          <w:b/>
          <w:bCs/>
          <w:color w:val="auto"/>
          <w:sz w:val="32"/>
          <w:szCs w:val="32"/>
        </w:rPr>
      </w:pPr>
    </w:p>
    <w:p>
      <w:pPr>
        <w:spacing w:line="480" w:lineRule="exact"/>
        <w:ind w:firstLine="472" w:firstLineChars="147"/>
        <w:rPr>
          <w:rFonts w:ascii="仿宋" w:hAnsi="仿宋" w:eastAsia="仿宋" w:cs="仿宋"/>
          <w:b/>
          <w:bCs/>
          <w:color w:val="auto"/>
          <w:sz w:val="32"/>
          <w:szCs w:val="32"/>
        </w:rPr>
      </w:pPr>
    </w:p>
    <w:p>
      <w:pPr>
        <w:rPr>
          <w:rFonts w:ascii="仿宋" w:hAnsi="仿宋" w:eastAsia="仿宋" w:cs="仿宋"/>
          <w:color w:val="auto"/>
        </w:rPr>
      </w:pPr>
    </w:p>
    <w:p>
      <w:pPr>
        <w:spacing w:line="480" w:lineRule="exact"/>
        <w:rPr>
          <w:rFonts w:ascii="仿宋" w:hAnsi="仿宋" w:eastAsia="仿宋" w:cs="仿宋"/>
          <w:b/>
          <w:bCs/>
          <w:color w:val="auto"/>
          <w:sz w:val="32"/>
          <w:szCs w:val="32"/>
        </w:rPr>
      </w:pPr>
    </w:p>
    <w:p>
      <w:pPr>
        <w:pStyle w:val="7"/>
        <w:rPr>
          <w:color w:val="auto"/>
        </w:rPr>
      </w:pPr>
    </w:p>
    <w:p>
      <w:pPr>
        <w:rPr>
          <w:color w:val="auto"/>
        </w:rPr>
      </w:pPr>
    </w:p>
    <w:p>
      <w:pPr>
        <w:wordWrap w:val="0"/>
        <w:spacing w:line="700" w:lineRule="exact"/>
        <w:ind w:right="480" w:firstLine="321" w:firstLineChars="100"/>
        <w:rPr>
          <w:rFonts w:ascii="宋体" w:cs="宋体"/>
          <w:b/>
          <w:bCs/>
          <w:color w:val="auto"/>
          <w:sz w:val="32"/>
        </w:rPr>
      </w:pPr>
      <w:r>
        <w:rPr>
          <w:rFonts w:hint="eastAsia" w:ascii="宋体" w:cs="宋体"/>
          <w:b/>
          <w:bCs/>
          <w:color w:val="auto"/>
          <w:sz w:val="32"/>
        </w:rPr>
        <w:t>招标单位</w:t>
      </w:r>
      <w:r>
        <w:rPr>
          <w:rFonts w:ascii="宋体" w:cs="宋体"/>
          <w:b/>
          <w:bCs/>
          <w:color w:val="auto"/>
          <w:sz w:val="32"/>
        </w:rPr>
        <w:t xml:space="preserve"> </w:t>
      </w:r>
      <w:r>
        <w:rPr>
          <w:rFonts w:hint="eastAsia" w:ascii="宋体" w:cs="宋体"/>
          <w:b/>
          <w:bCs/>
          <w:color w:val="auto"/>
          <w:sz w:val="32"/>
        </w:rPr>
        <w:t>：</w:t>
      </w:r>
      <w:r>
        <w:rPr>
          <w:rFonts w:ascii="宋体" w:cs="宋体"/>
          <w:b/>
          <w:bCs/>
          <w:color w:val="auto"/>
          <w:sz w:val="32"/>
          <w:u w:val="single"/>
        </w:rPr>
        <w:t xml:space="preserve"> </w:t>
      </w:r>
      <w:r>
        <w:rPr>
          <w:rFonts w:hint="eastAsia" w:ascii="宋体" w:cs="宋体"/>
          <w:b/>
          <w:bCs/>
          <w:color w:val="auto"/>
          <w:sz w:val="32"/>
          <w:u w:val="single"/>
        </w:rPr>
        <w:t xml:space="preserve">    </w:t>
      </w:r>
      <w:r>
        <w:rPr>
          <w:rFonts w:hint="eastAsia" w:ascii="宋体" w:cs="宋体"/>
          <w:b/>
          <w:bCs/>
          <w:color w:val="auto"/>
          <w:sz w:val="32"/>
          <w:szCs w:val="32"/>
          <w:u w:val="single"/>
          <w:lang w:eastAsia="zh-CN"/>
        </w:rPr>
        <w:t>滁州工投新能源开发有限公司</w:t>
      </w:r>
      <w:r>
        <w:rPr>
          <w:rFonts w:hint="eastAsia" w:ascii="宋体" w:cs="宋体"/>
          <w:b/>
          <w:bCs/>
          <w:color w:val="auto"/>
          <w:sz w:val="30"/>
          <w:szCs w:val="30"/>
          <w:u w:val="single"/>
        </w:rPr>
        <w:t xml:space="preserve">   </w:t>
      </w:r>
      <w:r>
        <w:rPr>
          <w:rFonts w:ascii="宋体" w:cs="宋体"/>
          <w:b/>
          <w:bCs/>
          <w:color w:val="auto"/>
          <w:sz w:val="30"/>
          <w:szCs w:val="30"/>
          <w:u w:val="single"/>
        </w:rPr>
        <w:t xml:space="preserve"> </w:t>
      </w:r>
      <w:r>
        <w:rPr>
          <w:rFonts w:hint="eastAsia" w:ascii="宋体" w:cs="宋体"/>
          <w:b/>
          <w:bCs/>
          <w:color w:val="auto"/>
          <w:sz w:val="32"/>
          <w:u w:val="single"/>
        </w:rPr>
        <w:t>（盖章）</w:t>
      </w:r>
    </w:p>
    <w:p>
      <w:pPr>
        <w:spacing w:line="700" w:lineRule="exact"/>
        <w:ind w:firstLine="321" w:firstLineChars="100"/>
        <w:rPr>
          <w:rFonts w:ascii="宋体" w:cs="宋体"/>
          <w:b/>
          <w:bCs/>
          <w:color w:val="auto"/>
          <w:sz w:val="32"/>
        </w:rPr>
      </w:pPr>
    </w:p>
    <w:p>
      <w:pPr>
        <w:spacing w:line="700" w:lineRule="exact"/>
        <w:ind w:firstLine="321" w:firstLineChars="100"/>
        <w:outlineLvl w:val="0"/>
        <w:rPr>
          <w:rFonts w:ascii="宋体" w:cs="宋体"/>
          <w:b/>
          <w:bCs/>
          <w:color w:val="auto"/>
          <w:sz w:val="32"/>
          <w:u w:val="single"/>
        </w:rPr>
      </w:pPr>
      <w:bookmarkStart w:id="0" w:name="_Toc10545"/>
      <w:bookmarkStart w:id="1" w:name="_Toc13101"/>
      <w:r>
        <w:rPr>
          <w:rFonts w:hint="eastAsia" w:ascii="宋体" w:cs="宋体"/>
          <w:b/>
          <w:bCs/>
          <w:color w:val="auto"/>
          <w:sz w:val="32"/>
        </w:rPr>
        <w:t>代理机构：</w:t>
      </w:r>
      <w:r>
        <w:rPr>
          <w:rFonts w:ascii="宋体" w:cs="宋体"/>
          <w:b/>
          <w:bCs/>
          <w:color w:val="auto"/>
          <w:sz w:val="32"/>
          <w:u w:val="single"/>
        </w:rPr>
        <w:t xml:space="preserve">    </w:t>
      </w:r>
      <w:r>
        <w:rPr>
          <w:rFonts w:hint="eastAsia" w:ascii="宋体" w:cs="宋体"/>
          <w:b/>
          <w:bCs/>
          <w:color w:val="auto"/>
          <w:sz w:val="32"/>
          <w:u w:val="single"/>
        </w:rPr>
        <w:t>滁州市城投工程咨询管理有限公司</w:t>
      </w:r>
      <w:r>
        <w:rPr>
          <w:rFonts w:ascii="宋体" w:cs="宋体"/>
          <w:b/>
          <w:bCs/>
          <w:color w:val="auto"/>
          <w:sz w:val="32"/>
          <w:u w:val="single"/>
        </w:rPr>
        <w:t xml:space="preserve"> </w:t>
      </w:r>
      <w:r>
        <w:rPr>
          <w:rFonts w:hint="eastAsia" w:ascii="宋体" w:cs="宋体"/>
          <w:b/>
          <w:bCs/>
          <w:color w:val="auto"/>
          <w:sz w:val="32"/>
          <w:u w:val="single"/>
        </w:rPr>
        <w:t>（盖章）</w:t>
      </w:r>
      <w:bookmarkEnd w:id="0"/>
      <w:bookmarkEnd w:id="1"/>
    </w:p>
    <w:p>
      <w:pPr>
        <w:spacing w:line="700" w:lineRule="exact"/>
        <w:ind w:firstLine="4016" w:firstLineChars="1250"/>
        <w:rPr>
          <w:rFonts w:ascii="宋体" w:cs="宋体"/>
          <w:b/>
          <w:bCs/>
          <w:color w:val="auto"/>
          <w:sz w:val="32"/>
          <w:u w:val="single"/>
        </w:rPr>
      </w:pPr>
    </w:p>
    <w:p>
      <w:pPr>
        <w:spacing w:line="700" w:lineRule="exact"/>
        <w:ind w:firstLine="4016" w:firstLineChars="1250"/>
        <w:rPr>
          <w:rFonts w:ascii="宋体" w:cs="宋体"/>
          <w:b/>
          <w:bCs/>
          <w:color w:val="auto"/>
          <w:spacing w:val="20"/>
          <w:sz w:val="32"/>
          <w:szCs w:val="32"/>
        </w:rPr>
      </w:pPr>
      <w:r>
        <w:rPr>
          <w:rFonts w:ascii="宋体" w:cs="宋体"/>
          <w:b/>
          <w:bCs/>
          <w:color w:val="auto"/>
          <w:sz w:val="32"/>
          <w:u w:val="single"/>
        </w:rPr>
        <w:t>202</w:t>
      </w:r>
      <w:r>
        <w:rPr>
          <w:rFonts w:hint="eastAsia" w:ascii="宋体" w:cs="宋体"/>
          <w:b/>
          <w:bCs/>
          <w:color w:val="auto"/>
          <w:sz w:val="32"/>
          <w:u w:val="single"/>
          <w:lang w:val="en-US" w:eastAsia="zh-CN"/>
        </w:rPr>
        <w:t>3</w:t>
      </w:r>
      <w:r>
        <w:rPr>
          <w:rFonts w:ascii="宋体" w:cs="宋体"/>
          <w:b/>
          <w:bCs/>
          <w:color w:val="auto"/>
          <w:sz w:val="32"/>
          <w:u w:val="single"/>
        </w:rPr>
        <w:t xml:space="preserve"> </w:t>
      </w:r>
      <w:r>
        <w:rPr>
          <w:rFonts w:hint="eastAsia" w:ascii="宋体" w:cs="宋体"/>
          <w:b/>
          <w:bCs/>
          <w:color w:val="auto"/>
          <w:sz w:val="32"/>
        </w:rPr>
        <w:t>年</w:t>
      </w:r>
      <w:r>
        <w:rPr>
          <w:rFonts w:ascii="宋体" w:cs="宋体"/>
          <w:b/>
          <w:bCs/>
          <w:color w:val="auto"/>
          <w:sz w:val="32"/>
          <w:u w:val="single"/>
        </w:rPr>
        <w:t xml:space="preserve"> </w:t>
      </w:r>
      <w:r>
        <w:rPr>
          <w:rFonts w:hint="eastAsia" w:ascii="宋体" w:cs="宋体"/>
          <w:b/>
          <w:bCs/>
          <w:color w:val="auto"/>
          <w:sz w:val="32"/>
          <w:u w:val="single"/>
          <w:lang w:val="en-US" w:eastAsia="zh-CN"/>
        </w:rPr>
        <w:t>3</w:t>
      </w:r>
      <w:r>
        <w:rPr>
          <w:rFonts w:ascii="宋体" w:cs="宋体"/>
          <w:b/>
          <w:bCs/>
          <w:color w:val="auto"/>
          <w:sz w:val="32"/>
          <w:u w:val="single"/>
        </w:rPr>
        <w:t xml:space="preserve"> </w:t>
      </w:r>
      <w:r>
        <w:rPr>
          <w:rFonts w:hint="eastAsia" w:ascii="宋体" w:cs="宋体"/>
          <w:b/>
          <w:bCs/>
          <w:color w:val="auto"/>
          <w:sz w:val="32"/>
        </w:rPr>
        <w:t>月</w:t>
      </w:r>
    </w:p>
    <w:p>
      <w:pPr>
        <w:spacing w:line="700" w:lineRule="exact"/>
        <w:rPr>
          <w:rFonts w:ascii="宋体"/>
          <w:color w:val="auto"/>
        </w:rPr>
        <w:sectPr>
          <w:headerReference r:id="rId4" w:type="first"/>
          <w:footerReference r:id="rId6" w:type="first"/>
          <w:headerReference r:id="rId3" w:type="default"/>
          <w:footerReference r:id="rId5" w:type="default"/>
          <w:pgSz w:w="11906" w:h="16838"/>
          <w:pgMar w:top="935" w:right="1106" w:bottom="936" w:left="1259" w:header="680" w:footer="680" w:gutter="0"/>
          <w:cols w:space="0" w:num="1"/>
          <w:titlePg/>
          <w:docGrid w:type="lines" w:linePitch="318" w:charSpace="0"/>
        </w:sectPr>
      </w:pPr>
    </w:p>
    <w:p>
      <w:pPr>
        <w:spacing w:line="700" w:lineRule="exact"/>
        <w:jc w:val="center"/>
        <w:rPr>
          <w:rFonts w:ascii="宋体" w:hAnsi="宋体" w:cs="宋体"/>
          <w:b/>
          <w:bCs/>
          <w:color w:val="auto"/>
        </w:rPr>
      </w:pPr>
    </w:p>
    <w:p>
      <w:pPr>
        <w:spacing w:line="700" w:lineRule="exact"/>
        <w:jc w:val="center"/>
        <w:rPr>
          <w:rFonts w:ascii="宋体" w:hAnsi="宋体" w:cs="宋体"/>
          <w:b/>
          <w:bCs/>
          <w:color w:val="auto"/>
          <w:sz w:val="28"/>
          <w:szCs w:val="28"/>
        </w:rPr>
      </w:pPr>
      <w:r>
        <w:rPr>
          <w:rFonts w:hint="eastAsia" w:ascii="宋体" w:hAnsi="宋体" w:cs="宋体"/>
          <w:b/>
          <w:bCs/>
          <w:color w:val="auto"/>
          <w:sz w:val="28"/>
          <w:szCs w:val="28"/>
        </w:rPr>
        <w:t>目  录</w:t>
      </w:r>
    </w:p>
    <w:sdt>
      <w:sdtPr>
        <w:rPr>
          <w:rFonts w:ascii="宋体" w:hAnsi="宋体"/>
          <w:b/>
          <w:bCs/>
          <w:color w:val="auto"/>
        </w:rPr>
        <w:id w:val="147454049"/>
        <w15:color w:val="DBDBDB"/>
        <w:docPartObj>
          <w:docPartGallery w:val="Table of Contents"/>
          <w:docPartUnique/>
        </w:docPartObj>
      </w:sdtPr>
      <w:sdtEndPr>
        <w:rPr>
          <w:rFonts w:hint="eastAsia" w:ascii="Times New Roman" w:hAnsi="Times New Roman"/>
          <w:b/>
          <w:bCs/>
          <w:color w:val="auto"/>
          <w:sz w:val="28"/>
          <w:szCs w:val="28"/>
        </w:rPr>
      </w:sdtEndPr>
      <w:sdtContent>
        <w:p>
          <w:pPr>
            <w:jc w:val="center"/>
            <w:rPr>
              <w:color w:val="auto"/>
            </w:rPr>
          </w:pPr>
        </w:p>
        <w:p>
          <w:pPr>
            <w:pStyle w:val="31"/>
            <w:tabs>
              <w:tab w:val="right" w:leader="dot" w:pos="9541"/>
              <w:tab w:val="clear" w:pos="8296"/>
            </w:tabs>
            <w:rPr>
              <w:color w:val="auto"/>
            </w:rPr>
          </w:pPr>
          <w:r>
            <w:rPr>
              <w:rFonts w:hint="eastAsia"/>
              <w:color w:val="auto"/>
            </w:rPr>
            <w:fldChar w:fldCharType="begin"/>
          </w:r>
          <w:r>
            <w:rPr>
              <w:rFonts w:hint="eastAsia"/>
              <w:color w:val="auto"/>
            </w:rPr>
            <w:instrText xml:space="preserve">TOC \o "1-1" \h \u </w:instrText>
          </w:r>
          <w:r>
            <w:rPr>
              <w:rFonts w:hint="eastAsia"/>
              <w:color w:val="auto"/>
            </w:rPr>
            <w:fldChar w:fldCharType="separate"/>
          </w:r>
        </w:p>
        <w:p>
          <w:pPr>
            <w:pStyle w:val="31"/>
            <w:tabs>
              <w:tab w:val="right" w:leader="dot" w:pos="9541"/>
              <w:tab w:val="clear" w:pos="8296"/>
            </w:tabs>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fldChar w:fldCharType="begin"/>
          </w:r>
          <w:r>
            <w:rPr>
              <w:rFonts w:hint="eastAsia" w:ascii="仿宋" w:hAnsi="仿宋" w:eastAsia="仿宋" w:cs="仿宋"/>
              <w:color w:val="auto"/>
              <w:sz w:val="28"/>
              <w:szCs w:val="28"/>
              <w:highlight w:val="none"/>
            </w:rPr>
            <w:instrText xml:space="preserve"> HYPERLINK \l _Toc11640 </w:instrText>
          </w:r>
          <w:r>
            <w:rPr>
              <w:rFonts w:hint="eastAsia" w:ascii="仿宋" w:hAnsi="仿宋" w:eastAsia="仿宋" w:cs="仿宋"/>
              <w:color w:val="auto"/>
              <w:sz w:val="28"/>
              <w:szCs w:val="28"/>
              <w:highlight w:val="none"/>
            </w:rPr>
            <w:fldChar w:fldCharType="separate"/>
          </w:r>
          <w:r>
            <w:rPr>
              <w:rFonts w:hint="eastAsia" w:ascii="仿宋" w:hAnsi="仿宋" w:eastAsia="仿宋" w:cs="仿宋"/>
              <w:color w:val="auto"/>
              <w:sz w:val="28"/>
              <w:szCs w:val="28"/>
              <w:highlight w:val="none"/>
            </w:rPr>
            <w:t>第一章 招标公告</w:t>
          </w:r>
          <w:r>
            <w:rPr>
              <w:rFonts w:hint="eastAsia" w:ascii="仿宋" w:hAnsi="仿宋" w:eastAsia="仿宋" w:cs="仿宋"/>
              <w:color w:val="auto"/>
              <w:sz w:val="28"/>
              <w:szCs w:val="28"/>
              <w:highlight w:val="none"/>
            </w:rPr>
            <w:tab/>
          </w:r>
          <w:r>
            <w:rPr>
              <w:rFonts w:hint="eastAsia" w:ascii="仿宋" w:hAnsi="仿宋" w:eastAsia="仿宋" w:cs="仿宋"/>
              <w:color w:val="auto"/>
              <w:sz w:val="28"/>
              <w:szCs w:val="28"/>
              <w:highlight w:val="none"/>
            </w:rPr>
            <w:fldChar w:fldCharType="begin"/>
          </w:r>
          <w:r>
            <w:rPr>
              <w:rFonts w:hint="eastAsia" w:ascii="仿宋" w:hAnsi="仿宋" w:eastAsia="仿宋" w:cs="仿宋"/>
              <w:color w:val="auto"/>
              <w:sz w:val="28"/>
              <w:szCs w:val="28"/>
              <w:highlight w:val="none"/>
            </w:rPr>
            <w:instrText xml:space="preserve"> PAGEREF _Toc11640 \h </w:instrText>
          </w:r>
          <w:r>
            <w:rPr>
              <w:rFonts w:hint="eastAsia" w:ascii="仿宋" w:hAnsi="仿宋" w:eastAsia="仿宋" w:cs="仿宋"/>
              <w:color w:val="auto"/>
              <w:sz w:val="28"/>
              <w:szCs w:val="28"/>
              <w:highlight w:val="none"/>
            </w:rPr>
            <w:fldChar w:fldCharType="separate"/>
          </w:r>
          <w:r>
            <w:rPr>
              <w:rFonts w:hint="eastAsia" w:ascii="仿宋" w:hAnsi="仿宋" w:eastAsia="仿宋" w:cs="仿宋"/>
              <w:color w:val="auto"/>
              <w:sz w:val="28"/>
              <w:szCs w:val="28"/>
              <w:highlight w:val="none"/>
            </w:rPr>
            <w:t>2</w:t>
          </w:r>
          <w:r>
            <w:rPr>
              <w:rFonts w:hint="eastAsia" w:ascii="仿宋" w:hAnsi="仿宋" w:eastAsia="仿宋" w:cs="仿宋"/>
              <w:color w:val="auto"/>
              <w:sz w:val="28"/>
              <w:szCs w:val="28"/>
              <w:highlight w:val="none"/>
            </w:rPr>
            <w:fldChar w:fldCharType="end"/>
          </w:r>
          <w:r>
            <w:rPr>
              <w:rFonts w:hint="eastAsia" w:ascii="仿宋" w:hAnsi="仿宋" w:eastAsia="仿宋" w:cs="仿宋"/>
              <w:color w:val="auto"/>
              <w:sz w:val="28"/>
              <w:szCs w:val="28"/>
              <w:highlight w:val="none"/>
            </w:rPr>
            <w:fldChar w:fldCharType="end"/>
          </w:r>
        </w:p>
        <w:p>
          <w:pPr>
            <w:pStyle w:val="31"/>
            <w:tabs>
              <w:tab w:val="right" w:leader="dot" w:pos="9541"/>
              <w:tab w:val="clear" w:pos="8296"/>
            </w:tabs>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fldChar w:fldCharType="begin"/>
          </w:r>
          <w:r>
            <w:rPr>
              <w:rFonts w:hint="eastAsia" w:ascii="仿宋" w:hAnsi="仿宋" w:eastAsia="仿宋" w:cs="仿宋"/>
              <w:color w:val="auto"/>
              <w:sz w:val="28"/>
              <w:szCs w:val="28"/>
              <w:highlight w:val="none"/>
            </w:rPr>
            <w:instrText xml:space="preserve"> HYPERLINK \l _Toc24499 </w:instrText>
          </w:r>
          <w:r>
            <w:rPr>
              <w:rFonts w:hint="eastAsia" w:ascii="仿宋" w:hAnsi="仿宋" w:eastAsia="仿宋" w:cs="仿宋"/>
              <w:color w:val="auto"/>
              <w:sz w:val="28"/>
              <w:szCs w:val="28"/>
              <w:highlight w:val="none"/>
            </w:rPr>
            <w:fldChar w:fldCharType="separate"/>
          </w:r>
          <w:r>
            <w:rPr>
              <w:rFonts w:hint="eastAsia" w:ascii="仿宋" w:hAnsi="仿宋" w:eastAsia="仿宋" w:cs="仿宋"/>
              <w:color w:val="auto"/>
              <w:kern w:val="2"/>
              <w:sz w:val="28"/>
              <w:szCs w:val="28"/>
              <w:highlight w:val="none"/>
            </w:rPr>
            <w:t>第二章</w:t>
          </w:r>
          <w:r>
            <w:rPr>
              <w:rFonts w:hint="eastAsia" w:ascii="仿宋" w:hAnsi="仿宋" w:eastAsia="仿宋" w:cs="仿宋"/>
              <w:color w:val="auto"/>
              <w:kern w:val="2"/>
              <w:sz w:val="28"/>
              <w:szCs w:val="28"/>
              <w:highlight w:val="none"/>
              <w:lang w:val="en-US" w:eastAsia="zh-CN"/>
            </w:rPr>
            <w:t xml:space="preserve"> </w:t>
          </w:r>
          <w:r>
            <w:rPr>
              <w:rFonts w:hint="eastAsia" w:ascii="仿宋" w:hAnsi="仿宋" w:eastAsia="仿宋" w:cs="仿宋"/>
              <w:color w:val="auto"/>
              <w:kern w:val="2"/>
              <w:sz w:val="28"/>
              <w:szCs w:val="28"/>
              <w:highlight w:val="none"/>
            </w:rPr>
            <w:t>投标须知</w:t>
          </w:r>
          <w:r>
            <w:rPr>
              <w:rFonts w:hint="eastAsia" w:ascii="仿宋" w:hAnsi="仿宋" w:eastAsia="仿宋" w:cs="仿宋"/>
              <w:color w:val="auto"/>
              <w:sz w:val="28"/>
              <w:szCs w:val="28"/>
              <w:highlight w:val="none"/>
            </w:rPr>
            <w:tab/>
          </w:r>
          <w:r>
            <w:rPr>
              <w:rFonts w:hint="eastAsia" w:ascii="仿宋" w:hAnsi="仿宋" w:eastAsia="仿宋" w:cs="仿宋"/>
              <w:color w:val="auto"/>
              <w:sz w:val="28"/>
              <w:szCs w:val="28"/>
              <w:highlight w:val="none"/>
              <w:lang w:val="en-US" w:eastAsia="zh-CN"/>
            </w:rPr>
            <w:t>6</w:t>
          </w:r>
          <w:r>
            <w:rPr>
              <w:rFonts w:hint="eastAsia" w:ascii="仿宋" w:hAnsi="仿宋" w:eastAsia="仿宋" w:cs="仿宋"/>
              <w:color w:val="auto"/>
              <w:sz w:val="28"/>
              <w:szCs w:val="28"/>
              <w:highlight w:val="none"/>
            </w:rPr>
            <w:fldChar w:fldCharType="end"/>
          </w:r>
        </w:p>
        <w:p>
          <w:pPr>
            <w:pStyle w:val="31"/>
            <w:tabs>
              <w:tab w:val="right" w:leader="dot" w:pos="9541"/>
              <w:tab w:val="clear" w:pos="8296"/>
            </w:tabs>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fldChar w:fldCharType="begin"/>
          </w:r>
          <w:r>
            <w:rPr>
              <w:rFonts w:hint="eastAsia" w:ascii="仿宋" w:hAnsi="仿宋" w:eastAsia="仿宋" w:cs="仿宋"/>
              <w:color w:val="auto"/>
              <w:sz w:val="28"/>
              <w:szCs w:val="28"/>
              <w:highlight w:val="none"/>
            </w:rPr>
            <w:instrText xml:space="preserve"> HYPERLINK \l _Toc32192 </w:instrText>
          </w:r>
          <w:r>
            <w:rPr>
              <w:rFonts w:hint="eastAsia" w:ascii="仿宋" w:hAnsi="仿宋" w:eastAsia="仿宋" w:cs="仿宋"/>
              <w:color w:val="auto"/>
              <w:sz w:val="28"/>
              <w:szCs w:val="28"/>
              <w:highlight w:val="none"/>
            </w:rPr>
            <w:fldChar w:fldCharType="separate"/>
          </w:r>
          <w:r>
            <w:rPr>
              <w:rFonts w:hint="eastAsia" w:ascii="仿宋" w:hAnsi="仿宋" w:eastAsia="仿宋" w:cs="仿宋"/>
              <w:color w:val="auto"/>
              <w:sz w:val="28"/>
              <w:szCs w:val="28"/>
              <w:highlight w:val="none"/>
            </w:rPr>
            <w:t>第三章 评标办法（</w:t>
          </w:r>
          <w:r>
            <w:rPr>
              <w:rFonts w:hint="eastAsia" w:ascii="仿宋" w:hAnsi="仿宋" w:eastAsia="仿宋" w:cs="仿宋"/>
              <w:color w:val="auto"/>
              <w:sz w:val="28"/>
              <w:szCs w:val="28"/>
              <w:highlight w:val="none"/>
              <w:lang w:eastAsia="zh-CN"/>
            </w:rPr>
            <w:t>综合评估法</w:t>
          </w:r>
          <w:r>
            <w:rPr>
              <w:rFonts w:hint="eastAsia" w:ascii="仿宋" w:hAnsi="仿宋" w:eastAsia="仿宋" w:cs="仿宋"/>
              <w:color w:val="auto"/>
              <w:sz w:val="28"/>
              <w:szCs w:val="28"/>
              <w:highlight w:val="none"/>
            </w:rPr>
            <w:t>）</w:t>
          </w:r>
          <w:r>
            <w:rPr>
              <w:rFonts w:hint="eastAsia" w:ascii="仿宋" w:hAnsi="仿宋" w:eastAsia="仿宋" w:cs="仿宋"/>
              <w:color w:val="auto"/>
              <w:sz w:val="28"/>
              <w:szCs w:val="28"/>
              <w:highlight w:val="none"/>
            </w:rPr>
            <w:tab/>
          </w:r>
          <w:r>
            <w:rPr>
              <w:rFonts w:hint="eastAsia" w:ascii="仿宋" w:hAnsi="仿宋" w:eastAsia="仿宋" w:cs="仿宋"/>
              <w:color w:val="auto"/>
              <w:sz w:val="28"/>
              <w:szCs w:val="28"/>
              <w:highlight w:val="none"/>
            </w:rPr>
            <w:fldChar w:fldCharType="begin"/>
          </w:r>
          <w:r>
            <w:rPr>
              <w:rFonts w:hint="eastAsia" w:ascii="仿宋" w:hAnsi="仿宋" w:eastAsia="仿宋" w:cs="仿宋"/>
              <w:color w:val="auto"/>
              <w:sz w:val="28"/>
              <w:szCs w:val="28"/>
              <w:highlight w:val="none"/>
            </w:rPr>
            <w:instrText xml:space="preserve"> PAGEREF _Toc32192 \h </w:instrText>
          </w:r>
          <w:r>
            <w:rPr>
              <w:rFonts w:hint="eastAsia" w:ascii="仿宋" w:hAnsi="仿宋" w:eastAsia="仿宋" w:cs="仿宋"/>
              <w:color w:val="auto"/>
              <w:sz w:val="28"/>
              <w:szCs w:val="28"/>
              <w:highlight w:val="none"/>
            </w:rPr>
            <w:fldChar w:fldCharType="separate"/>
          </w:r>
          <w:r>
            <w:rPr>
              <w:rFonts w:hint="eastAsia" w:ascii="仿宋" w:hAnsi="仿宋" w:eastAsia="仿宋" w:cs="仿宋"/>
              <w:color w:val="auto"/>
              <w:sz w:val="28"/>
              <w:szCs w:val="28"/>
              <w:highlight w:val="none"/>
            </w:rPr>
            <w:t>13</w:t>
          </w:r>
          <w:r>
            <w:rPr>
              <w:rFonts w:hint="eastAsia" w:ascii="仿宋" w:hAnsi="仿宋" w:eastAsia="仿宋" w:cs="仿宋"/>
              <w:color w:val="auto"/>
              <w:sz w:val="28"/>
              <w:szCs w:val="28"/>
              <w:highlight w:val="none"/>
            </w:rPr>
            <w:fldChar w:fldCharType="end"/>
          </w:r>
          <w:r>
            <w:rPr>
              <w:rFonts w:hint="eastAsia" w:ascii="仿宋" w:hAnsi="仿宋" w:eastAsia="仿宋" w:cs="仿宋"/>
              <w:color w:val="auto"/>
              <w:sz w:val="28"/>
              <w:szCs w:val="28"/>
              <w:highlight w:val="none"/>
            </w:rPr>
            <w:fldChar w:fldCharType="end"/>
          </w:r>
        </w:p>
        <w:p>
          <w:pPr>
            <w:pStyle w:val="31"/>
            <w:tabs>
              <w:tab w:val="right" w:leader="dot" w:pos="9541"/>
              <w:tab w:val="clear" w:pos="8296"/>
            </w:tabs>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rPr>
            <w:fldChar w:fldCharType="begin"/>
          </w:r>
          <w:r>
            <w:rPr>
              <w:rFonts w:hint="eastAsia" w:ascii="仿宋" w:hAnsi="仿宋" w:eastAsia="仿宋" w:cs="仿宋"/>
              <w:color w:val="auto"/>
              <w:sz w:val="28"/>
              <w:szCs w:val="28"/>
              <w:highlight w:val="none"/>
            </w:rPr>
            <w:instrText xml:space="preserve"> HYPERLINK \l _Toc25362 </w:instrText>
          </w:r>
          <w:r>
            <w:rPr>
              <w:rFonts w:hint="eastAsia" w:ascii="仿宋" w:hAnsi="仿宋" w:eastAsia="仿宋" w:cs="仿宋"/>
              <w:color w:val="auto"/>
              <w:sz w:val="28"/>
              <w:szCs w:val="28"/>
              <w:highlight w:val="none"/>
            </w:rPr>
            <w:fldChar w:fldCharType="separate"/>
          </w:r>
          <w:r>
            <w:rPr>
              <w:rFonts w:hint="eastAsia" w:ascii="仿宋" w:hAnsi="仿宋" w:eastAsia="仿宋" w:cs="仿宋"/>
              <w:color w:val="auto"/>
              <w:kern w:val="2"/>
              <w:sz w:val="28"/>
              <w:szCs w:val="28"/>
              <w:highlight w:val="none"/>
            </w:rPr>
            <w:t>第</w:t>
          </w:r>
          <w:r>
            <w:rPr>
              <w:rFonts w:hint="eastAsia" w:ascii="仿宋" w:hAnsi="仿宋" w:eastAsia="仿宋" w:cs="仿宋"/>
              <w:color w:val="auto"/>
              <w:kern w:val="2"/>
              <w:sz w:val="28"/>
              <w:szCs w:val="28"/>
              <w:highlight w:val="none"/>
              <w:lang w:val="en-US" w:eastAsia="zh-CN"/>
            </w:rPr>
            <w:t>五</w:t>
          </w:r>
          <w:r>
            <w:rPr>
              <w:rFonts w:hint="eastAsia" w:ascii="仿宋" w:hAnsi="仿宋" w:eastAsia="仿宋" w:cs="仿宋"/>
              <w:color w:val="auto"/>
              <w:kern w:val="2"/>
              <w:sz w:val="28"/>
              <w:szCs w:val="28"/>
              <w:highlight w:val="none"/>
            </w:rPr>
            <w:t>章 合同条款</w:t>
          </w:r>
          <w:r>
            <w:rPr>
              <w:rFonts w:hint="eastAsia" w:ascii="仿宋" w:hAnsi="仿宋" w:eastAsia="仿宋" w:cs="仿宋"/>
              <w:color w:val="auto"/>
              <w:sz w:val="28"/>
              <w:szCs w:val="28"/>
              <w:highlight w:val="none"/>
            </w:rPr>
            <w:tab/>
          </w:r>
          <w:r>
            <w:rPr>
              <w:rFonts w:hint="eastAsia" w:ascii="仿宋" w:hAnsi="仿宋" w:eastAsia="仿宋" w:cs="仿宋"/>
              <w:color w:val="auto"/>
              <w:sz w:val="28"/>
              <w:szCs w:val="28"/>
              <w:highlight w:val="none"/>
              <w:lang w:val="en-US" w:eastAsia="zh-CN"/>
            </w:rPr>
            <w:t>1</w:t>
          </w:r>
          <w:r>
            <w:rPr>
              <w:rFonts w:hint="eastAsia" w:ascii="仿宋" w:hAnsi="仿宋" w:eastAsia="仿宋" w:cs="仿宋"/>
              <w:color w:val="auto"/>
              <w:sz w:val="28"/>
              <w:szCs w:val="28"/>
              <w:highlight w:val="none"/>
            </w:rPr>
            <w:fldChar w:fldCharType="end"/>
          </w:r>
          <w:r>
            <w:rPr>
              <w:rFonts w:hint="eastAsia" w:ascii="仿宋" w:hAnsi="仿宋" w:eastAsia="仿宋" w:cs="仿宋"/>
              <w:color w:val="auto"/>
              <w:sz w:val="28"/>
              <w:szCs w:val="28"/>
              <w:highlight w:val="none"/>
              <w:lang w:val="en-US" w:eastAsia="zh-CN"/>
            </w:rPr>
            <w:t>8</w:t>
          </w:r>
        </w:p>
        <w:p>
          <w:pPr>
            <w:pStyle w:val="31"/>
            <w:tabs>
              <w:tab w:val="right" w:leader="dot" w:pos="9541"/>
              <w:tab w:val="clear" w:pos="8296"/>
            </w:tabs>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fldChar w:fldCharType="begin"/>
          </w:r>
          <w:r>
            <w:rPr>
              <w:rFonts w:hint="eastAsia" w:ascii="仿宋" w:hAnsi="仿宋" w:eastAsia="仿宋" w:cs="仿宋"/>
              <w:color w:val="auto"/>
              <w:sz w:val="28"/>
              <w:szCs w:val="28"/>
              <w:highlight w:val="none"/>
            </w:rPr>
            <w:instrText xml:space="preserve"> HYPERLINK \l _Toc20381 </w:instrText>
          </w:r>
          <w:r>
            <w:rPr>
              <w:rFonts w:hint="eastAsia" w:ascii="仿宋" w:hAnsi="仿宋" w:eastAsia="仿宋" w:cs="仿宋"/>
              <w:color w:val="auto"/>
              <w:sz w:val="28"/>
              <w:szCs w:val="28"/>
              <w:highlight w:val="none"/>
            </w:rPr>
            <w:fldChar w:fldCharType="separate"/>
          </w:r>
          <w:r>
            <w:rPr>
              <w:rFonts w:hint="eastAsia" w:ascii="仿宋" w:hAnsi="仿宋" w:eastAsia="仿宋" w:cs="仿宋"/>
              <w:color w:val="auto"/>
              <w:kern w:val="2"/>
              <w:sz w:val="28"/>
              <w:szCs w:val="28"/>
              <w:highlight w:val="none"/>
            </w:rPr>
            <w:t>第</w:t>
          </w:r>
          <w:r>
            <w:rPr>
              <w:rFonts w:hint="eastAsia" w:ascii="仿宋" w:hAnsi="仿宋" w:eastAsia="仿宋" w:cs="仿宋"/>
              <w:color w:val="auto"/>
              <w:kern w:val="2"/>
              <w:sz w:val="28"/>
              <w:szCs w:val="28"/>
              <w:highlight w:val="none"/>
              <w:lang w:val="en-US" w:eastAsia="zh-CN"/>
            </w:rPr>
            <w:t>六</w:t>
          </w:r>
          <w:r>
            <w:rPr>
              <w:rFonts w:hint="eastAsia" w:ascii="仿宋" w:hAnsi="仿宋" w:eastAsia="仿宋" w:cs="仿宋"/>
              <w:color w:val="auto"/>
              <w:kern w:val="2"/>
              <w:sz w:val="28"/>
              <w:szCs w:val="28"/>
              <w:highlight w:val="none"/>
            </w:rPr>
            <w:t>章</w:t>
          </w:r>
          <w:r>
            <w:rPr>
              <w:rFonts w:hint="eastAsia" w:ascii="仿宋" w:hAnsi="仿宋" w:eastAsia="仿宋" w:cs="仿宋"/>
              <w:color w:val="auto"/>
              <w:kern w:val="2"/>
              <w:sz w:val="28"/>
              <w:szCs w:val="28"/>
              <w:highlight w:val="none"/>
              <w:lang w:val="en-US" w:eastAsia="zh-CN"/>
            </w:rPr>
            <w:t xml:space="preserve"> </w:t>
          </w:r>
          <w:r>
            <w:rPr>
              <w:rFonts w:hint="eastAsia" w:ascii="仿宋" w:hAnsi="仿宋" w:eastAsia="仿宋" w:cs="仿宋"/>
              <w:color w:val="auto"/>
              <w:kern w:val="2"/>
              <w:sz w:val="28"/>
              <w:szCs w:val="28"/>
              <w:highlight w:val="none"/>
            </w:rPr>
            <w:t>投标文件格式</w:t>
          </w:r>
          <w:r>
            <w:rPr>
              <w:rFonts w:hint="eastAsia" w:ascii="仿宋" w:hAnsi="仿宋" w:eastAsia="仿宋" w:cs="仿宋"/>
              <w:color w:val="auto"/>
              <w:sz w:val="28"/>
              <w:szCs w:val="28"/>
              <w:highlight w:val="none"/>
            </w:rPr>
            <w:tab/>
          </w:r>
          <w:r>
            <w:rPr>
              <w:rFonts w:hint="eastAsia" w:ascii="仿宋" w:hAnsi="仿宋" w:eastAsia="仿宋" w:cs="仿宋"/>
              <w:color w:val="auto"/>
              <w:sz w:val="28"/>
              <w:szCs w:val="28"/>
              <w:highlight w:val="none"/>
            </w:rPr>
            <w:fldChar w:fldCharType="begin"/>
          </w:r>
          <w:r>
            <w:rPr>
              <w:rFonts w:hint="eastAsia" w:ascii="仿宋" w:hAnsi="仿宋" w:eastAsia="仿宋" w:cs="仿宋"/>
              <w:color w:val="auto"/>
              <w:sz w:val="28"/>
              <w:szCs w:val="28"/>
              <w:highlight w:val="none"/>
            </w:rPr>
            <w:instrText xml:space="preserve"> PAGEREF _Toc20381 \h </w:instrText>
          </w:r>
          <w:r>
            <w:rPr>
              <w:rFonts w:hint="eastAsia" w:ascii="仿宋" w:hAnsi="仿宋" w:eastAsia="仿宋" w:cs="仿宋"/>
              <w:color w:val="auto"/>
              <w:sz w:val="28"/>
              <w:szCs w:val="28"/>
              <w:highlight w:val="none"/>
            </w:rPr>
            <w:fldChar w:fldCharType="separate"/>
          </w:r>
          <w:r>
            <w:rPr>
              <w:rFonts w:hint="eastAsia" w:ascii="仿宋" w:hAnsi="仿宋" w:eastAsia="仿宋" w:cs="仿宋"/>
              <w:color w:val="auto"/>
              <w:sz w:val="28"/>
              <w:szCs w:val="28"/>
              <w:highlight w:val="none"/>
            </w:rPr>
            <w:t>23</w:t>
          </w:r>
          <w:r>
            <w:rPr>
              <w:rFonts w:hint="eastAsia" w:ascii="仿宋" w:hAnsi="仿宋" w:eastAsia="仿宋" w:cs="仿宋"/>
              <w:color w:val="auto"/>
              <w:sz w:val="28"/>
              <w:szCs w:val="28"/>
              <w:highlight w:val="none"/>
            </w:rPr>
            <w:fldChar w:fldCharType="end"/>
          </w:r>
          <w:r>
            <w:rPr>
              <w:rFonts w:hint="eastAsia" w:ascii="仿宋" w:hAnsi="仿宋" w:eastAsia="仿宋" w:cs="仿宋"/>
              <w:color w:val="auto"/>
              <w:sz w:val="28"/>
              <w:szCs w:val="28"/>
              <w:highlight w:val="none"/>
            </w:rPr>
            <w:fldChar w:fldCharType="end"/>
          </w:r>
        </w:p>
        <w:p>
          <w:pPr>
            <w:pStyle w:val="31"/>
            <w:tabs>
              <w:tab w:val="right" w:leader="dot" w:pos="9541"/>
              <w:tab w:val="clear" w:pos="8296"/>
            </w:tabs>
            <w:rPr>
              <w:color w:val="auto"/>
              <w:highlight w:val="none"/>
            </w:rPr>
          </w:pPr>
          <w:r>
            <w:rPr>
              <w:rFonts w:hint="eastAsia" w:ascii="仿宋" w:hAnsi="仿宋" w:eastAsia="仿宋" w:cs="仿宋"/>
              <w:color w:val="auto"/>
              <w:sz w:val="28"/>
              <w:szCs w:val="28"/>
              <w:highlight w:val="none"/>
            </w:rPr>
            <w:fldChar w:fldCharType="begin"/>
          </w:r>
          <w:r>
            <w:rPr>
              <w:rFonts w:hint="eastAsia" w:ascii="仿宋" w:hAnsi="仿宋" w:eastAsia="仿宋" w:cs="仿宋"/>
              <w:color w:val="auto"/>
              <w:sz w:val="28"/>
              <w:szCs w:val="28"/>
              <w:highlight w:val="none"/>
            </w:rPr>
            <w:instrText xml:space="preserve"> HYPERLINK \l _Toc25509 </w:instrText>
          </w:r>
          <w:r>
            <w:rPr>
              <w:rFonts w:hint="eastAsia" w:ascii="仿宋" w:hAnsi="仿宋" w:eastAsia="仿宋" w:cs="仿宋"/>
              <w:color w:val="auto"/>
              <w:sz w:val="28"/>
              <w:szCs w:val="28"/>
              <w:highlight w:val="none"/>
            </w:rPr>
            <w:fldChar w:fldCharType="separate"/>
          </w:r>
          <w:r>
            <w:rPr>
              <w:rFonts w:hint="eastAsia" w:ascii="仿宋" w:hAnsi="仿宋" w:eastAsia="仿宋" w:cs="仿宋"/>
              <w:color w:val="auto"/>
              <w:kern w:val="2"/>
              <w:sz w:val="28"/>
              <w:szCs w:val="28"/>
              <w:highlight w:val="none"/>
            </w:rPr>
            <w:t>第</w:t>
          </w:r>
          <w:r>
            <w:rPr>
              <w:rFonts w:hint="eastAsia" w:ascii="仿宋" w:hAnsi="仿宋" w:eastAsia="仿宋" w:cs="仿宋"/>
              <w:color w:val="auto"/>
              <w:kern w:val="2"/>
              <w:sz w:val="28"/>
              <w:szCs w:val="28"/>
              <w:highlight w:val="none"/>
              <w:lang w:val="en-US" w:eastAsia="zh-CN"/>
            </w:rPr>
            <w:t>七</w:t>
          </w:r>
          <w:r>
            <w:rPr>
              <w:rFonts w:hint="eastAsia" w:ascii="仿宋" w:hAnsi="仿宋" w:eastAsia="仿宋" w:cs="仿宋"/>
              <w:color w:val="auto"/>
              <w:kern w:val="2"/>
              <w:sz w:val="28"/>
              <w:szCs w:val="28"/>
              <w:highlight w:val="none"/>
            </w:rPr>
            <w:t>章</w:t>
          </w:r>
          <w:r>
            <w:rPr>
              <w:rFonts w:hint="eastAsia" w:ascii="仿宋" w:hAnsi="仿宋" w:eastAsia="仿宋" w:cs="仿宋"/>
              <w:color w:val="auto"/>
              <w:kern w:val="2"/>
              <w:sz w:val="28"/>
              <w:szCs w:val="28"/>
              <w:highlight w:val="none"/>
              <w:lang w:val="en-US" w:eastAsia="zh-CN"/>
            </w:rPr>
            <w:t xml:space="preserve"> </w:t>
          </w:r>
          <w:r>
            <w:rPr>
              <w:rFonts w:hint="eastAsia" w:ascii="仿宋" w:hAnsi="仿宋" w:eastAsia="仿宋" w:cs="仿宋"/>
              <w:color w:val="auto"/>
              <w:kern w:val="2"/>
              <w:sz w:val="28"/>
              <w:szCs w:val="28"/>
              <w:highlight w:val="none"/>
            </w:rPr>
            <w:t>招标单位、招标代理机构对本招标文件的确认</w:t>
          </w:r>
          <w:r>
            <w:rPr>
              <w:rFonts w:hint="eastAsia" w:ascii="仿宋" w:hAnsi="仿宋" w:eastAsia="仿宋" w:cs="仿宋"/>
              <w:color w:val="auto"/>
              <w:sz w:val="28"/>
              <w:szCs w:val="28"/>
              <w:highlight w:val="none"/>
            </w:rPr>
            <w:tab/>
          </w:r>
          <w:r>
            <w:rPr>
              <w:rFonts w:hint="eastAsia" w:ascii="仿宋" w:hAnsi="仿宋" w:eastAsia="仿宋" w:cs="仿宋"/>
              <w:color w:val="auto"/>
              <w:sz w:val="28"/>
              <w:szCs w:val="28"/>
              <w:highlight w:val="none"/>
            </w:rPr>
            <w:fldChar w:fldCharType="begin"/>
          </w:r>
          <w:r>
            <w:rPr>
              <w:rFonts w:hint="eastAsia" w:ascii="仿宋" w:hAnsi="仿宋" w:eastAsia="仿宋" w:cs="仿宋"/>
              <w:color w:val="auto"/>
              <w:sz w:val="28"/>
              <w:szCs w:val="28"/>
              <w:highlight w:val="none"/>
            </w:rPr>
            <w:instrText xml:space="preserve"> PAGEREF _Toc25509 \h </w:instrText>
          </w:r>
          <w:r>
            <w:rPr>
              <w:rFonts w:hint="eastAsia" w:ascii="仿宋" w:hAnsi="仿宋" w:eastAsia="仿宋" w:cs="仿宋"/>
              <w:color w:val="auto"/>
              <w:sz w:val="28"/>
              <w:szCs w:val="28"/>
              <w:highlight w:val="none"/>
            </w:rPr>
            <w:fldChar w:fldCharType="separate"/>
          </w:r>
          <w:r>
            <w:rPr>
              <w:rFonts w:hint="eastAsia" w:ascii="仿宋" w:hAnsi="仿宋" w:eastAsia="仿宋" w:cs="仿宋"/>
              <w:color w:val="auto"/>
              <w:sz w:val="28"/>
              <w:szCs w:val="28"/>
              <w:highlight w:val="none"/>
            </w:rPr>
            <w:t>31</w:t>
          </w:r>
          <w:r>
            <w:rPr>
              <w:rFonts w:hint="eastAsia" w:ascii="仿宋" w:hAnsi="仿宋" w:eastAsia="仿宋" w:cs="仿宋"/>
              <w:color w:val="auto"/>
              <w:sz w:val="28"/>
              <w:szCs w:val="28"/>
              <w:highlight w:val="none"/>
            </w:rPr>
            <w:fldChar w:fldCharType="end"/>
          </w:r>
          <w:r>
            <w:rPr>
              <w:rFonts w:hint="eastAsia" w:ascii="仿宋" w:hAnsi="仿宋" w:eastAsia="仿宋" w:cs="仿宋"/>
              <w:color w:val="auto"/>
              <w:sz w:val="28"/>
              <w:szCs w:val="28"/>
              <w:highlight w:val="none"/>
            </w:rPr>
            <w:fldChar w:fldCharType="end"/>
          </w:r>
        </w:p>
        <w:p>
          <w:pPr>
            <w:pStyle w:val="6"/>
            <w:spacing w:before="0" w:after="0" w:line="700" w:lineRule="exact"/>
            <w:rPr>
              <w:rFonts w:ascii="仿宋" w:cs="仿宋"/>
              <w:b w:val="0"/>
              <w:bCs w:val="0"/>
              <w:color w:val="auto"/>
              <w:sz w:val="24"/>
              <w:szCs w:val="24"/>
            </w:rPr>
          </w:pPr>
          <w:r>
            <w:rPr>
              <w:rFonts w:hint="eastAsia"/>
              <w:color w:val="auto"/>
            </w:rPr>
            <w:fldChar w:fldCharType="end"/>
          </w:r>
        </w:p>
      </w:sdtContent>
    </w:sdt>
    <w:p>
      <w:pPr>
        <w:rPr>
          <w:color w:val="auto"/>
        </w:rPr>
        <w:sectPr>
          <w:footerReference r:id="rId8" w:type="first"/>
          <w:footerReference r:id="rId7" w:type="default"/>
          <w:pgSz w:w="11906" w:h="16838"/>
          <w:pgMar w:top="935" w:right="1106" w:bottom="936" w:left="1259" w:header="680" w:footer="680" w:gutter="0"/>
          <w:pgNumType w:start="1"/>
          <w:cols w:space="0" w:num="1"/>
          <w:docGrid w:type="lines" w:linePitch="318" w:charSpace="0"/>
        </w:sectPr>
      </w:pPr>
    </w:p>
    <w:p>
      <w:pPr>
        <w:widowControl/>
        <w:spacing w:line="360" w:lineRule="exact"/>
        <w:jc w:val="center"/>
        <w:textAlignment w:val="baseline"/>
        <w:outlineLvl w:val="0"/>
        <w:rPr>
          <w:rFonts w:ascii="宋体" w:hAnsi="宋体" w:cs="宋体"/>
          <w:b/>
          <w:color w:val="auto"/>
          <w:sz w:val="32"/>
          <w:szCs w:val="32"/>
        </w:rPr>
      </w:pPr>
      <w:bookmarkStart w:id="2" w:name="_Toc24106"/>
      <w:bookmarkStart w:id="3" w:name="_Toc11640"/>
      <w:r>
        <w:rPr>
          <w:rFonts w:hint="eastAsia" w:ascii="宋体" w:hAnsi="宋体" w:eastAsia="宋体" w:cs="宋体"/>
          <w:b/>
          <w:color w:val="auto"/>
          <w:sz w:val="32"/>
          <w:szCs w:val="32"/>
        </w:rPr>
        <w:t>第一章</w:t>
      </w:r>
      <w:r>
        <w:rPr>
          <w:rFonts w:hint="eastAsia" w:ascii="宋体" w:hAnsi="宋体" w:cs="宋体"/>
          <w:color w:val="auto"/>
          <w:sz w:val="28"/>
          <w:szCs w:val="28"/>
        </w:rPr>
        <w:t xml:space="preserve"> </w:t>
      </w:r>
      <w:bookmarkEnd w:id="2"/>
      <w:r>
        <w:rPr>
          <w:rFonts w:hint="eastAsia" w:ascii="宋体" w:hAnsi="宋体" w:cs="宋体"/>
          <w:b/>
          <w:color w:val="auto"/>
          <w:sz w:val="32"/>
          <w:szCs w:val="32"/>
        </w:rPr>
        <w:t>招标公告</w:t>
      </w:r>
      <w:bookmarkEnd w:id="3"/>
    </w:p>
    <w:p>
      <w:pPr>
        <w:pStyle w:val="7"/>
        <w:numPr>
          <w:ilvl w:val="1"/>
          <w:numId w:val="0"/>
        </w:numPr>
        <w:spacing w:line="400" w:lineRule="exact"/>
        <w:ind w:left="431"/>
        <w:rPr>
          <w:rFonts w:ascii="宋体" w:hAnsi="宋体" w:eastAsia="宋体" w:cs="宋体"/>
          <w:color w:val="auto"/>
          <w:sz w:val="24"/>
          <w:szCs w:val="24"/>
        </w:rPr>
      </w:pPr>
      <w:bookmarkStart w:id="4" w:name="_Toc58430305"/>
      <w:bookmarkStart w:id="5" w:name="_Toc28359002"/>
      <w:bookmarkStart w:id="6" w:name="_Toc35393621"/>
      <w:bookmarkStart w:id="7" w:name="_Toc28359079"/>
      <w:bookmarkStart w:id="8" w:name="_Toc35393790"/>
      <w:bookmarkStart w:id="9" w:name="_Hlk24379207"/>
      <w:r>
        <w:rPr>
          <w:rFonts w:hint="eastAsia" w:ascii="宋体" w:hAnsi="宋体" w:eastAsia="宋体" w:cs="宋体"/>
          <w:color w:val="auto"/>
          <w:sz w:val="24"/>
          <w:szCs w:val="24"/>
        </w:rPr>
        <w:t>一、项目基本情况</w:t>
      </w:r>
      <w:bookmarkEnd w:id="4"/>
      <w:bookmarkEnd w:id="5"/>
      <w:bookmarkEnd w:id="6"/>
      <w:bookmarkEnd w:id="7"/>
      <w:bookmarkEnd w:id="8"/>
    </w:p>
    <w:bookmarkEnd w:id="9"/>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auto"/>
          <w:sz w:val="24"/>
          <w:szCs w:val="24"/>
          <w:lang w:eastAsia="zh-CN"/>
        </w:rPr>
      </w:pPr>
      <w:bookmarkStart w:id="10" w:name="_Toc35393622"/>
      <w:bookmarkStart w:id="11" w:name="_Toc28359080"/>
      <w:bookmarkStart w:id="12" w:name="_Toc35393791"/>
      <w:bookmarkStart w:id="13" w:name="_Toc28359003"/>
      <w:bookmarkStart w:id="14" w:name="_Toc58430306"/>
      <w:r>
        <w:rPr>
          <w:rFonts w:hint="eastAsia" w:ascii="宋体" w:hAnsi="宋体" w:eastAsia="宋体" w:cs="宋体"/>
          <w:color w:val="auto"/>
          <w:sz w:val="24"/>
          <w:szCs w:val="24"/>
        </w:rPr>
        <w:t>项目名称：</w:t>
      </w:r>
      <w:r>
        <w:rPr>
          <w:rFonts w:hint="eastAsia" w:ascii="宋体" w:hAnsi="宋体" w:eastAsia="宋体" w:cs="宋体"/>
          <w:color w:val="auto"/>
          <w:sz w:val="24"/>
          <w:szCs w:val="24"/>
          <w:lang w:eastAsia="zh-CN"/>
        </w:rPr>
        <w:t>滁州市区公共领域车辆电动化基础设施—低速新能源车充电设施项目跟踪审计</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预算金额：项目工程造价约</w:t>
      </w:r>
      <w:r>
        <w:rPr>
          <w:rFonts w:hint="eastAsia" w:ascii="宋体" w:hAnsi="宋体" w:eastAsia="宋体" w:cs="宋体"/>
          <w:color w:val="auto"/>
          <w:sz w:val="24"/>
          <w:szCs w:val="24"/>
          <w:lang w:val="en-US" w:eastAsia="zh-CN"/>
        </w:rPr>
        <w:t>28</w:t>
      </w:r>
      <w:r>
        <w:rPr>
          <w:rFonts w:hint="eastAsia" w:ascii="宋体" w:hAnsi="宋体" w:eastAsia="宋体" w:cs="宋体"/>
          <w:color w:val="auto"/>
          <w:sz w:val="24"/>
          <w:szCs w:val="24"/>
        </w:rPr>
        <w:t>00万元。</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最高限价：</w:t>
      </w:r>
      <w:r>
        <w:rPr>
          <w:rFonts w:hint="eastAsia" w:ascii="宋体" w:hAnsi="宋体" w:eastAsia="宋体" w:cs="宋体"/>
          <w:color w:val="auto"/>
          <w:sz w:val="24"/>
          <w:szCs w:val="24"/>
          <w:highlight w:val="none"/>
          <w:lang w:val="en-US" w:eastAsia="zh-CN"/>
        </w:rPr>
        <w:t>基本费率最高限价：2‰（注：报价时只需报基本费率，保留两位小数，报价不得为负数）；审核成果费率1.50%（审核成果费率固定不变，工程造价审减率在10%以内的由招标单位承担，工程造价审减率超过10%的，其超过部分审计服务费用由施工单位承担；无审减额的，按基本费用收取）</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rPr>
        <w:t>招标范围</w:t>
      </w:r>
      <w:r>
        <w:rPr>
          <w:rFonts w:hint="eastAsia" w:ascii="宋体" w:hAnsi="宋体" w:eastAsia="宋体" w:cs="宋体"/>
          <w:color w:val="auto"/>
          <w:sz w:val="24"/>
          <w:szCs w:val="24"/>
          <w:lang w:eastAsia="zh-CN"/>
        </w:rPr>
        <w:t>：</w:t>
      </w:r>
      <w:r>
        <w:rPr>
          <w:rFonts w:hint="eastAsia" w:ascii="宋体" w:hAnsi="宋体" w:eastAsia="宋体" w:cs="宋体"/>
          <w:color w:val="auto"/>
          <w:sz w:val="24"/>
          <w:szCs w:val="24"/>
          <w:lang w:val="en-US" w:eastAsia="zh-CN"/>
        </w:rPr>
        <w:t>见招标文件</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rPr>
        <w:t>合同履行期限：自签订合同之日起至整体竣工验收合格并出</w:t>
      </w:r>
      <w:r>
        <w:rPr>
          <w:rFonts w:hint="eastAsia" w:ascii="宋体" w:hAnsi="宋体" w:eastAsia="宋体" w:cs="宋体"/>
          <w:color w:val="auto"/>
          <w:sz w:val="24"/>
          <w:szCs w:val="24"/>
          <w:lang w:val="en-US" w:eastAsia="zh-CN"/>
        </w:rPr>
        <w:t>具审核成果文件止。</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本项目不接受联合体投标。</w:t>
      </w:r>
    </w:p>
    <w:p>
      <w:pPr>
        <w:pStyle w:val="7"/>
        <w:numPr>
          <w:ilvl w:val="1"/>
          <w:numId w:val="0"/>
        </w:numPr>
        <w:spacing w:line="400" w:lineRule="exact"/>
        <w:ind w:left="851" w:hanging="420"/>
        <w:rPr>
          <w:rFonts w:ascii="宋体" w:hAnsi="宋体" w:eastAsia="宋体" w:cs="宋体"/>
          <w:color w:val="auto"/>
          <w:sz w:val="24"/>
          <w:szCs w:val="24"/>
        </w:rPr>
      </w:pPr>
      <w:r>
        <w:rPr>
          <w:rFonts w:hint="eastAsia" w:ascii="宋体" w:hAnsi="宋体" w:eastAsia="宋体" w:cs="宋体"/>
          <w:color w:val="auto"/>
          <w:sz w:val="24"/>
          <w:szCs w:val="24"/>
        </w:rPr>
        <w:t>二、申请人的资格要求</w:t>
      </w:r>
      <w:bookmarkEnd w:id="10"/>
      <w:bookmarkEnd w:id="11"/>
      <w:bookmarkEnd w:id="12"/>
      <w:bookmarkEnd w:id="13"/>
      <w:bookmarkEnd w:id="14"/>
      <w:r>
        <w:rPr>
          <w:rFonts w:hint="eastAsia" w:ascii="宋体" w:hAnsi="宋体" w:eastAsia="宋体" w:cs="宋体"/>
          <w:color w:val="auto"/>
          <w:sz w:val="24"/>
          <w:szCs w:val="24"/>
        </w:rPr>
        <w:t xml:space="preserve"> </w:t>
      </w:r>
      <w:r>
        <w:rPr>
          <w:rFonts w:ascii="宋体" w:hAnsi="宋体" w:eastAsia="宋体" w:cs="宋体"/>
          <w:color w:val="auto"/>
          <w:sz w:val="24"/>
          <w:szCs w:val="24"/>
        </w:rPr>
        <w:t xml:space="preserve">  </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cs="宋体"/>
          <w:b/>
          <w:bCs/>
          <w:color w:val="auto"/>
          <w:kern w:val="0"/>
          <w:sz w:val="24"/>
          <w:szCs w:val="24"/>
          <w:highlight w:val="none"/>
          <w:lang w:val="en-US" w:eastAsia="zh-CN"/>
        </w:rPr>
      </w:pPr>
      <w:bookmarkStart w:id="15" w:name="_Toc28359004"/>
      <w:bookmarkStart w:id="16" w:name="_Toc35393792"/>
      <w:bookmarkStart w:id="17" w:name="_Toc58430307"/>
      <w:bookmarkStart w:id="18" w:name="_Toc28359081"/>
      <w:bookmarkStart w:id="19" w:name="_Toc35393623"/>
      <w:r>
        <w:rPr>
          <w:rFonts w:hint="eastAsia" w:ascii="宋体" w:hAnsi="宋体" w:cs="宋体"/>
          <w:color w:val="auto"/>
          <w:sz w:val="24"/>
          <w:szCs w:val="24"/>
        </w:rPr>
        <w:t>1.投标人要求：</w:t>
      </w:r>
      <w:r>
        <w:rPr>
          <w:rFonts w:hint="eastAsia" w:ascii="宋体" w:hAnsi="宋体" w:cs="宋体"/>
          <w:color w:val="auto"/>
          <w:kern w:val="0"/>
          <w:sz w:val="24"/>
          <w:szCs w:val="24"/>
          <w:highlight w:val="none"/>
        </w:rPr>
        <w:t>投标人为具有承担本项目相应服务能力的企业；（有效的营业执照、税务登记证、组织机构码证（或“三证合一证书”）</w:t>
      </w:r>
      <w:r>
        <w:rPr>
          <w:rFonts w:ascii="宋体" w:hAnsi="宋体" w:cs="宋体"/>
          <w:color w:val="auto"/>
          <w:kern w:val="0"/>
          <w:sz w:val="24"/>
          <w:szCs w:val="24"/>
          <w:highlight w:val="none"/>
        </w:rPr>
        <w:t>；</w:t>
      </w:r>
      <w:r>
        <w:rPr>
          <w:rFonts w:hint="eastAsia" w:ascii="宋体" w:hAnsi="宋体" w:cs="宋体"/>
          <w:b/>
          <w:bCs/>
          <w:color w:val="auto"/>
          <w:kern w:val="0"/>
          <w:sz w:val="24"/>
          <w:szCs w:val="24"/>
          <w:highlight w:val="non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cs="宋体"/>
          <w:color w:val="auto"/>
          <w:sz w:val="24"/>
          <w:szCs w:val="24"/>
        </w:rPr>
      </w:pPr>
      <w:r>
        <w:rPr>
          <w:rFonts w:hint="eastAsia" w:ascii="宋体" w:hAnsi="宋体" w:cs="宋体"/>
          <w:color w:val="auto"/>
          <w:sz w:val="24"/>
          <w:szCs w:val="24"/>
        </w:rPr>
        <w:t>2.项目负责人要求：须具有中华人民共和国住房和城乡建设部颁发且在本单位注册的一级造价工程师【土建专业】注册证书；</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cs="宋体"/>
          <w:color w:val="auto"/>
          <w:sz w:val="24"/>
          <w:szCs w:val="24"/>
        </w:rPr>
      </w:pPr>
      <w:r>
        <w:rPr>
          <w:rFonts w:hint="eastAsia" w:ascii="宋体" w:hAnsi="宋体" w:cs="宋体"/>
          <w:color w:val="auto"/>
          <w:sz w:val="24"/>
          <w:szCs w:val="24"/>
        </w:rPr>
        <w:t>3.限制投标单位：</w:t>
      </w:r>
      <w:r>
        <w:rPr>
          <w:rFonts w:hint="eastAsia" w:ascii="宋体" w:hAnsi="宋体" w:cs="宋体"/>
          <w:color w:val="auto"/>
          <w:sz w:val="24"/>
          <w:szCs w:val="24"/>
          <w:lang w:eastAsia="zh-CN"/>
        </w:rPr>
        <w:t>滁州市区公共领域车辆电动化基础设施—低速新能源车充电设施项目</w:t>
      </w:r>
      <w:r>
        <w:rPr>
          <w:rFonts w:hint="eastAsia" w:ascii="宋体" w:hAnsi="宋体" w:cs="宋体"/>
          <w:color w:val="auto"/>
          <w:sz w:val="24"/>
          <w:szCs w:val="24"/>
        </w:rPr>
        <w:t>工程量清单及最高投标限价编制单位、监理单位、代理单位、设计单位、施工单位不得参加本项目投标。</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cs="宋体"/>
          <w:color w:val="auto"/>
          <w:sz w:val="24"/>
          <w:szCs w:val="24"/>
        </w:rPr>
      </w:pPr>
      <w:r>
        <w:rPr>
          <w:rFonts w:hint="eastAsia" w:ascii="宋体" w:hAnsi="宋体" w:cs="宋体"/>
          <w:color w:val="auto"/>
          <w:sz w:val="24"/>
          <w:szCs w:val="24"/>
          <w:lang w:val="en-US" w:eastAsia="zh-CN"/>
        </w:rPr>
        <w:t>4</w:t>
      </w:r>
      <w:r>
        <w:rPr>
          <w:rFonts w:hint="eastAsia" w:ascii="宋体" w:hAnsi="宋体" w:cs="宋体"/>
          <w:color w:val="auto"/>
          <w:sz w:val="24"/>
          <w:szCs w:val="24"/>
        </w:rPr>
        <w:t>.本项目不接受联合体投标。</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5.项目组成员（不含项目负责人）：项目组成员不少于</w:t>
      </w:r>
      <w:r>
        <w:rPr>
          <w:rFonts w:hint="eastAsia" w:ascii="宋体" w:hAnsi="宋体" w:cs="宋体"/>
          <w:color w:val="auto"/>
          <w:sz w:val="24"/>
          <w:szCs w:val="24"/>
          <w:lang w:val="en-US" w:eastAsia="zh-CN"/>
        </w:rPr>
        <w:t>2</w:t>
      </w:r>
      <w:r>
        <w:rPr>
          <w:rFonts w:hint="eastAsia" w:ascii="宋体" w:hAnsi="宋体" w:eastAsia="宋体" w:cs="宋体"/>
          <w:color w:val="auto"/>
          <w:sz w:val="24"/>
          <w:szCs w:val="24"/>
          <w:lang w:val="en-US" w:eastAsia="zh-CN"/>
        </w:rPr>
        <w:t>人（土建专业不少于</w:t>
      </w:r>
      <w:r>
        <w:rPr>
          <w:rFonts w:hint="eastAsia" w:ascii="宋体" w:hAnsi="宋体" w:cs="宋体"/>
          <w:color w:val="auto"/>
          <w:sz w:val="24"/>
          <w:szCs w:val="24"/>
          <w:lang w:val="en-US" w:eastAsia="zh-CN"/>
        </w:rPr>
        <w:t>1</w:t>
      </w:r>
      <w:r>
        <w:rPr>
          <w:rFonts w:hint="eastAsia" w:ascii="宋体" w:hAnsi="宋体" w:eastAsia="宋体" w:cs="宋体"/>
          <w:color w:val="auto"/>
          <w:sz w:val="24"/>
          <w:szCs w:val="24"/>
          <w:lang w:val="en-US" w:eastAsia="zh-CN"/>
        </w:rPr>
        <w:t>名、安装专业不少于</w:t>
      </w:r>
      <w:r>
        <w:rPr>
          <w:rFonts w:hint="eastAsia" w:ascii="宋体" w:hAnsi="宋体" w:cs="宋体"/>
          <w:color w:val="auto"/>
          <w:sz w:val="24"/>
          <w:szCs w:val="24"/>
          <w:lang w:val="en-US" w:eastAsia="zh-CN"/>
        </w:rPr>
        <w:t>1</w:t>
      </w:r>
      <w:r>
        <w:rPr>
          <w:rFonts w:hint="eastAsia" w:ascii="宋体" w:hAnsi="宋体" w:eastAsia="宋体" w:cs="宋体"/>
          <w:color w:val="auto"/>
          <w:sz w:val="24"/>
          <w:szCs w:val="24"/>
          <w:lang w:val="en-US" w:eastAsia="zh-CN"/>
        </w:rPr>
        <w:t>名），二级及以上造价师（或注册造价工程师）。（提供项目组人员注册证书复印件加盖投标人公章和证明专业的证明材料）。</w:t>
      </w:r>
    </w:p>
    <w:p>
      <w:pPr>
        <w:pStyle w:val="7"/>
        <w:numPr>
          <w:ilvl w:val="1"/>
          <w:numId w:val="0"/>
        </w:numPr>
        <w:spacing w:line="400" w:lineRule="exact"/>
        <w:ind w:left="851" w:hanging="420"/>
        <w:rPr>
          <w:rFonts w:ascii="宋体" w:hAnsi="宋体" w:eastAsia="宋体" w:cs="宋体"/>
          <w:color w:val="auto"/>
          <w:sz w:val="24"/>
          <w:szCs w:val="24"/>
        </w:rPr>
      </w:pPr>
      <w:r>
        <w:rPr>
          <w:rFonts w:hint="eastAsia" w:ascii="宋体" w:hAnsi="宋体" w:eastAsia="宋体" w:cs="宋体"/>
          <w:color w:val="auto"/>
          <w:sz w:val="24"/>
          <w:szCs w:val="24"/>
        </w:rPr>
        <w:t>三、获取招标文件</w:t>
      </w:r>
      <w:bookmarkEnd w:id="15"/>
      <w:bookmarkEnd w:id="16"/>
      <w:bookmarkEnd w:id="17"/>
      <w:bookmarkEnd w:id="18"/>
      <w:bookmarkEnd w:id="19"/>
    </w:p>
    <w:p>
      <w:pPr>
        <w:spacing w:line="400" w:lineRule="exact"/>
        <w:ind w:firstLine="540"/>
        <w:rPr>
          <w:rFonts w:ascii="宋体" w:hAnsi="宋体" w:cs="宋体"/>
          <w:iCs/>
          <w:color w:val="auto"/>
          <w:sz w:val="24"/>
          <w:szCs w:val="24"/>
          <w:u w:val="single"/>
        </w:rPr>
      </w:pPr>
      <w:r>
        <w:rPr>
          <w:rFonts w:hint="eastAsia" w:ascii="宋体" w:hAnsi="宋体" w:cs="宋体"/>
          <w:color w:val="auto"/>
          <w:sz w:val="24"/>
          <w:szCs w:val="24"/>
        </w:rPr>
        <w:t>时间：</w:t>
      </w:r>
      <w:r>
        <w:rPr>
          <w:rFonts w:hint="eastAsia" w:ascii="宋体" w:hAnsi="宋体" w:cs="宋体"/>
          <w:color w:val="auto"/>
          <w:sz w:val="24"/>
          <w:szCs w:val="24"/>
          <w:u w:val="single"/>
        </w:rPr>
        <w:t xml:space="preserve"> 202</w:t>
      </w:r>
      <w:r>
        <w:rPr>
          <w:rFonts w:hint="eastAsia" w:ascii="宋体" w:hAnsi="宋体" w:cs="宋体"/>
          <w:color w:val="auto"/>
          <w:sz w:val="24"/>
          <w:szCs w:val="24"/>
          <w:u w:val="single"/>
          <w:lang w:val="en-US" w:eastAsia="zh-CN"/>
        </w:rPr>
        <w:t>3</w:t>
      </w:r>
      <w:r>
        <w:rPr>
          <w:rFonts w:hint="eastAsia" w:ascii="宋体" w:hAnsi="宋体" w:cs="宋体"/>
          <w:color w:val="auto"/>
          <w:sz w:val="24"/>
          <w:szCs w:val="24"/>
          <w:u w:val="single"/>
        </w:rPr>
        <w:t>年</w:t>
      </w:r>
      <w:r>
        <w:rPr>
          <w:rFonts w:hint="eastAsia" w:ascii="宋体" w:hAnsi="宋体" w:cs="宋体"/>
          <w:color w:val="auto"/>
          <w:sz w:val="24"/>
          <w:szCs w:val="24"/>
          <w:u w:val="single"/>
          <w:lang w:val="en-US" w:eastAsia="zh-CN"/>
        </w:rPr>
        <w:t>3</w:t>
      </w:r>
      <w:r>
        <w:rPr>
          <w:rFonts w:hint="eastAsia" w:ascii="宋体" w:hAnsi="宋体" w:cs="宋体"/>
          <w:color w:val="auto"/>
          <w:sz w:val="24"/>
          <w:szCs w:val="24"/>
          <w:u w:val="single"/>
        </w:rPr>
        <w:t>月</w:t>
      </w:r>
      <w:r>
        <w:rPr>
          <w:rFonts w:hint="eastAsia" w:ascii="宋体" w:hAnsi="宋体" w:cs="宋体"/>
          <w:color w:val="auto"/>
          <w:sz w:val="24"/>
          <w:szCs w:val="24"/>
          <w:u w:val="single"/>
          <w:lang w:val="en-US" w:eastAsia="zh-CN"/>
        </w:rPr>
        <w:t>24</w:t>
      </w:r>
      <w:bookmarkStart w:id="101" w:name="_GoBack"/>
      <w:bookmarkEnd w:id="101"/>
      <w:r>
        <w:rPr>
          <w:rFonts w:hint="eastAsia" w:ascii="宋体" w:hAnsi="宋体" w:cs="宋体"/>
          <w:color w:val="auto"/>
          <w:sz w:val="24"/>
          <w:szCs w:val="24"/>
          <w:u w:val="single"/>
        </w:rPr>
        <w:t>日</w:t>
      </w:r>
      <w:r>
        <w:rPr>
          <w:rFonts w:hint="eastAsia" w:ascii="宋体" w:hAnsi="宋体" w:cs="宋体"/>
          <w:color w:val="auto"/>
          <w:sz w:val="24"/>
          <w:szCs w:val="24"/>
        </w:rPr>
        <w:t>至</w:t>
      </w:r>
      <w:r>
        <w:rPr>
          <w:rFonts w:hint="eastAsia" w:ascii="宋体" w:hAnsi="宋体" w:cs="宋体"/>
          <w:color w:val="auto"/>
          <w:sz w:val="24"/>
          <w:szCs w:val="24"/>
          <w:u w:val="single"/>
        </w:rPr>
        <w:t xml:space="preserve"> 202</w:t>
      </w:r>
      <w:r>
        <w:rPr>
          <w:rFonts w:hint="eastAsia" w:ascii="宋体" w:hAnsi="宋体" w:cs="宋体"/>
          <w:color w:val="auto"/>
          <w:sz w:val="24"/>
          <w:szCs w:val="24"/>
          <w:u w:val="single"/>
          <w:lang w:val="en-US" w:eastAsia="zh-CN"/>
        </w:rPr>
        <w:t>3</w:t>
      </w:r>
      <w:r>
        <w:rPr>
          <w:rFonts w:hint="eastAsia" w:ascii="宋体" w:hAnsi="宋体" w:cs="宋体"/>
          <w:color w:val="auto"/>
          <w:sz w:val="24"/>
          <w:szCs w:val="24"/>
          <w:u w:val="single"/>
        </w:rPr>
        <w:t>年</w:t>
      </w:r>
      <w:r>
        <w:rPr>
          <w:rFonts w:hint="eastAsia" w:ascii="宋体" w:hAnsi="宋体" w:cs="宋体"/>
          <w:color w:val="auto"/>
          <w:sz w:val="24"/>
          <w:szCs w:val="24"/>
          <w:u w:val="single"/>
          <w:lang w:val="en-US" w:eastAsia="zh-CN"/>
        </w:rPr>
        <w:t>3</w:t>
      </w:r>
      <w:r>
        <w:rPr>
          <w:rFonts w:hint="eastAsia" w:ascii="宋体" w:hAnsi="宋体" w:cs="宋体"/>
          <w:color w:val="auto"/>
          <w:sz w:val="24"/>
          <w:szCs w:val="24"/>
          <w:u w:val="single"/>
        </w:rPr>
        <w:t>月</w:t>
      </w:r>
      <w:r>
        <w:rPr>
          <w:rFonts w:hint="eastAsia" w:ascii="宋体" w:hAnsi="宋体" w:cs="宋体"/>
          <w:color w:val="auto"/>
          <w:sz w:val="24"/>
          <w:szCs w:val="24"/>
          <w:u w:val="single"/>
          <w:lang w:val="en-US" w:eastAsia="zh-CN"/>
        </w:rPr>
        <w:t>31</w:t>
      </w:r>
      <w:r>
        <w:rPr>
          <w:rFonts w:hint="eastAsia" w:ascii="宋体" w:hAnsi="宋体" w:cs="宋体"/>
          <w:color w:val="auto"/>
          <w:sz w:val="24"/>
          <w:szCs w:val="24"/>
          <w:u w:val="single"/>
        </w:rPr>
        <w:t>日</w:t>
      </w:r>
    </w:p>
    <w:p>
      <w:pPr>
        <w:spacing w:line="400" w:lineRule="exact"/>
        <w:ind w:firstLine="540"/>
        <w:rPr>
          <w:rFonts w:ascii="宋体" w:hAnsi="宋体" w:cs="宋体"/>
          <w:color w:val="auto"/>
          <w:sz w:val="24"/>
          <w:szCs w:val="24"/>
          <w:u w:val="single"/>
        </w:rPr>
      </w:pPr>
      <w:r>
        <w:rPr>
          <w:rFonts w:hint="eastAsia" w:ascii="宋体" w:hAnsi="宋体" w:cs="宋体"/>
          <w:color w:val="auto"/>
          <w:sz w:val="24"/>
          <w:szCs w:val="24"/>
        </w:rPr>
        <w:t>方式：网上下载</w:t>
      </w:r>
    </w:p>
    <w:p>
      <w:pPr>
        <w:spacing w:line="400" w:lineRule="exact"/>
        <w:ind w:firstLine="540"/>
        <w:rPr>
          <w:rFonts w:ascii="宋体" w:hAnsi="宋体" w:cs="宋体"/>
          <w:color w:val="auto"/>
          <w:sz w:val="24"/>
          <w:szCs w:val="24"/>
        </w:rPr>
      </w:pPr>
      <w:r>
        <w:rPr>
          <w:rFonts w:hint="eastAsia" w:ascii="宋体" w:hAnsi="宋体" w:cs="宋体"/>
          <w:color w:val="auto"/>
          <w:sz w:val="24"/>
          <w:szCs w:val="24"/>
        </w:rPr>
        <w:t>售价：0元</w:t>
      </w:r>
    </w:p>
    <w:p>
      <w:pPr>
        <w:pStyle w:val="7"/>
        <w:numPr>
          <w:ilvl w:val="1"/>
          <w:numId w:val="0"/>
        </w:numPr>
        <w:spacing w:line="400" w:lineRule="exact"/>
        <w:ind w:left="851" w:hanging="420"/>
        <w:rPr>
          <w:rFonts w:ascii="宋体" w:hAnsi="宋体" w:eastAsia="宋体" w:cs="宋体"/>
          <w:color w:val="auto"/>
          <w:sz w:val="24"/>
          <w:szCs w:val="24"/>
        </w:rPr>
      </w:pPr>
      <w:bookmarkStart w:id="20" w:name="_Toc28359082"/>
      <w:bookmarkStart w:id="21" w:name="_Toc28359005"/>
      <w:bookmarkStart w:id="22" w:name="_Toc35393793"/>
      <w:bookmarkStart w:id="23" w:name="_Toc58430308"/>
      <w:bookmarkStart w:id="24" w:name="_Toc35393624"/>
      <w:r>
        <w:rPr>
          <w:rFonts w:hint="eastAsia" w:ascii="宋体" w:hAnsi="宋体" w:eastAsia="宋体" w:cs="宋体"/>
          <w:color w:val="auto"/>
          <w:sz w:val="24"/>
          <w:szCs w:val="24"/>
        </w:rPr>
        <w:t>四、提交投标文件</w:t>
      </w:r>
      <w:bookmarkEnd w:id="20"/>
      <w:bookmarkEnd w:id="21"/>
      <w:r>
        <w:rPr>
          <w:rFonts w:hint="eastAsia" w:ascii="宋体" w:hAnsi="宋体" w:eastAsia="宋体" w:cs="宋体"/>
          <w:color w:val="auto"/>
          <w:sz w:val="24"/>
          <w:szCs w:val="24"/>
        </w:rPr>
        <w:t>截止时间、开标时间和地点</w:t>
      </w:r>
      <w:bookmarkEnd w:id="22"/>
      <w:bookmarkEnd w:id="23"/>
      <w:bookmarkEnd w:id="24"/>
    </w:p>
    <w:p>
      <w:pPr>
        <w:spacing w:line="400" w:lineRule="exact"/>
        <w:ind w:firstLine="540"/>
        <w:rPr>
          <w:rFonts w:ascii="宋体" w:hAnsi="宋体" w:cs="宋体"/>
          <w:bCs/>
          <w:color w:val="auto"/>
          <w:sz w:val="24"/>
          <w:szCs w:val="24"/>
        </w:rPr>
      </w:pPr>
      <w:r>
        <w:rPr>
          <w:rFonts w:hint="eastAsia" w:ascii="宋体" w:hAnsi="宋体" w:cs="宋体"/>
          <w:color w:val="auto"/>
          <w:sz w:val="24"/>
          <w:szCs w:val="24"/>
          <w:u w:val="single"/>
        </w:rPr>
        <w:t xml:space="preserve"> 202</w:t>
      </w:r>
      <w:r>
        <w:rPr>
          <w:rFonts w:hint="eastAsia" w:ascii="宋体" w:hAnsi="宋体" w:cs="宋体"/>
          <w:color w:val="auto"/>
          <w:sz w:val="24"/>
          <w:szCs w:val="24"/>
          <w:u w:val="single"/>
          <w:lang w:val="en-US" w:eastAsia="zh-CN"/>
        </w:rPr>
        <w:t>3</w:t>
      </w:r>
      <w:r>
        <w:rPr>
          <w:rFonts w:hint="eastAsia" w:ascii="宋体" w:hAnsi="宋体" w:cs="宋体"/>
          <w:color w:val="auto"/>
          <w:sz w:val="24"/>
          <w:szCs w:val="24"/>
          <w:u w:val="single"/>
        </w:rPr>
        <w:t>年</w:t>
      </w:r>
      <w:r>
        <w:rPr>
          <w:rFonts w:hint="eastAsia" w:ascii="宋体" w:hAnsi="宋体" w:cs="宋体"/>
          <w:color w:val="auto"/>
          <w:sz w:val="24"/>
          <w:szCs w:val="24"/>
          <w:u w:val="single"/>
          <w:lang w:val="en-US" w:eastAsia="zh-CN"/>
        </w:rPr>
        <w:t>3</w:t>
      </w:r>
      <w:r>
        <w:rPr>
          <w:rFonts w:hint="eastAsia" w:ascii="宋体" w:hAnsi="宋体" w:cs="宋体"/>
          <w:color w:val="auto"/>
          <w:sz w:val="24"/>
          <w:szCs w:val="24"/>
          <w:u w:val="single"/>
        </w:rPr>
        <w:t>月</w:t>
      </w:r>
      <w:r>
        <w:rPr>
          <w:rFonts w:hint="eastAsia" w:ascii="宋体" w:hAnsi="宋体" w:cs="宋体"/>
          <w:color w:val="auto"/>
          <w:sz w:val="24"/>
          <w:szCs w:val="24"/>
          <w:u w:val="single"/>
          <w:lang w:val="en-US" w:eastAsia="zh-CN"/>
        </w:rPr>
        <w:t>31</w:t>
      </w:r>
      <w:r>
        <w:rPr>
          <w:rFonts w:hint="eastAsia" w:ascii="宋体" w:hAnsi="宋体" w:cs="宋体"/>
          <w:color w:val="auto"/>
          <w:sz w:val="24"/>
          <w:szCs w:val="24"/>
          <w:u w:val="single"/>
        </w:rPr>
        <w:t>日</w:t>
      </w:r>
      <w:r>
        <w:rPr>
          <w:rFonts w:hint="eastAsia" w:ascii="宋体" w:hAnsi="宋体" w:cs="宋体"/>
          <w:bCs/>
          <w:color w:val="auto"/>
          <w:sz w:val="24"/>
          <w:szCs w:val="24"/>
          <w:u w:val="single"/>
          <w:lang w:val="en-US" w:eastAsia="zh-CN"/>
        </w:rPr>
        <w:t>9</w:t>
      </w:r>
      <w:r>
        <w:rPr>
          <w:rFonts w:hint="eastAsia" w:ascii="宋体" w:hAnsi="宋体" w:cs="宋体"/>
          <w:bCs/>
          <w:color w:val="auto"/>
          <w:sz w:val="24"/>
          <w:szCs w:val="24"/>
          <w:u w:val="single"/>
        </w:rPr>
        <w:t>点00分</w:t>
      </w:r>
      <w:r>
        <w:rPr>
          <w:rFonts w:hint="eastAsia" w:ascii="宋体" w:hAnsi="宋体" w:cs="宋体"/>
          <w:bCs/>
          <w:color w:val="auto"/>
          <w:sz w:val="24"/>
          <w:szCs w:val="24"/>
        </w:rPr>
        <w:t>（北京时间）</w:t>
      </w:r>
    </w:p>
    <w:p>
      <w:pPr>
        <w:widowControl/>
        <w:spacing w:line="440" w:lineRule="exact"/>
        <w:ind w:firstLine="480" w:firstLineChars="200"/>
        <w:textAlignment w:val="baseline"/>
        <w:rPr>
          <w:rFonts w:ascii="宋体" w:hAnsi="宋体" w:cs="宋体"/>
          <w:bCs/>
          <w:color w:val="auto"/>
          <w:sz w:val="24"/>
          <w:szCs w:val="24"/>
          <w:u w:val="single"/>
        </w:rPr>
      </w:pPr>
      <w:r>
        <w:rPr>
          <w:rFonts w:hint="eastAsia" w:ascii="宋体" w:hAnsi="宋体" w:cs="宋体"/>
          <w:color w:val="auto"/>
          <w:sz w:val="24"/>
          <w:szCs w:val="24"/>
        </w:rPr>
        <w:t>地点：</w:t>
      </w:r>
      <w:r>
        <w:rPr>
          <w:rFonts w:hint="eastAsia" w:ascii="宋体" w:hAnsi="宋体" w:eastAsia="宋体" w:cs="宋体"/>
          <w:color w:val="auto"/>
          <w:sz w:val="24"/>
          <w:szCs w:val="24"/>
        </w:rPr>
        <w:t>滁州市</w:t>
      </w:r>
      <w:r>
        <w:rPr>
          <w:rFonts w:hint="eastAsia" w:ascii="宋体" w:hAnsi="宋体" w:eastAsia="宋体" w:cs="宋体"/>
          <w:color w:val="auto"/>
          <w:sz w:val="24"/>
          <w:szCs w:val="24"/>
          <w:lang w:val="en-US" w:eastAsia="zh-CN"/>
        </w:rPr>
        <w:t>凤凰东路476号投资大厦</w:t>
      </w:r>
      <w:r>
        <w:rPr>
          <w:rFonts w:hint="eastAsia" w:ascii="宋体" w:hAnsi="宋体" w:eastAsia="宋体" w:cs="宋体"/>
          <w:color w:val="auto"/>
          <w:sz w:val="24"/>
          <w:szCs w:val="24"/>
          <w:highlight w:val="none"/>
          <w:lang w:val="en-US" w:eastAsia="zh-CN"/>
        </w:rPr>
        <w:t>12楼</w:t>
      </w:r>
      <w:r>
        <w:rPr>
          <w:rFonts w:hint="eastAsia" w:ascii="宋体" w:hAnsi="宋体" w:eastAsia="宋体" w:cs="宋体"/>
          <w:color w:val="auto"/>
          <w:sz w:val="24"/>
          <w:szCs w:val="24"/>
          <w:highlight w:val="none"/>
        </w:rPr>
        <w:t>会</w:t>
      </w:r>
      <w:r>
        <w:rPr>
          <w:rFonts w:hint="eastAsia" w:ascii="宋体" w:hAnsi="宋体" w:eastAsia="宋体" w:cs="宋体"/>
          <w:color w:val="auto"/>
          <w:sz w:val="24"/>
          <w:szCs w:val="24"/>
        </w:rPr>
        <w:t>议室</w:t>
      </w:r>
      <w:r>
        <w:rPr>
          <w:rFonts w:hint="eastAsia" w:ascii="宋体" w:hAnsi="宋体" w:cs="宋体"/>
          <w:color w:val="auto"/>
          <w:sz w:val="24"/>
          <w:szCs w:val="24"/>
        </w:rPr>
        <w:t>。</w:t>
      </w:r>
    </w:p>
    <w:p>
      <w:pPr>
        <w:pStyle w:val="7"/>
        <w:numPr>
          <w:ilvl w:val="1"/>
          <w:numId w:val="0"/>
        </w:numPr>
        <w:spacing w:line="400" w:lineRule="exact"/>
        <w:ind w:left="851" w:hanging="420"/>
        <w:rPr>
          <w:rFonts w:ascii="宋体" w:hAnsi="宋体" w:eastAsia="宋体" w:cs="宋体"/>
          <w:color w:val="auto"/>
          <w:sz w:val="24"/>
          <w:szCs w:val="24"/>
        </w:rPr>
      </w:pPr>
      <w:bookmarkStart w:id="25" w:name="_Toc35393625"/>
      <w:bookmarkStart w:id="26" w:name="_Toc35393794"/>
      <w:bookmarkStart w:id="27" w:name="_Toc58430309"/>
      <w:bookmarkStart w:id="28" w:name="_Toc28359084"/>
      <w:bookmarkStart w:id="29" w:name="_Toc28359007"/>
      <w:r>
        <w:rPr>
          <w:rFonts w:hint="eastAsia" w:ascii="宋体" w:hAnsi="宋体" w:eastAsia="宋体" w:cs="宋体"/>
          <w:color w:val="auto"/>
          <w:sz w:val="24"/>
          <w:szCs w:val="24"/>
        </w:rPr>
        <w:t>五、</w:t>
      </w:r>
      <w:bookmarkEnd w:id="25"/>
      <w:bookmarkEnd w:id="26"/>
      <w:bookmarkEnd w:id="27"/>
      <w:bookmarkEnd w:id="28"/>
      <w:bookmarkEnd w:id="29"/>
      <w:bookmarkStart w:id="30" w:name="_Toc58430310"/>
      <w:r>
        <w:rPr>
          <w:rFonts w:hint="eastAsia" w:ascii="宋体" w:hAnsi="宋体" w:eastAsia="宋体" w:cs="宋体"/>
          <w:color w:val="auto"/>
          <w:sz w:val="24"/>
          <w:szCs w:val="24"/>
        </w:rPr>
        <w:t>投标保证金金额及缴纳账户</w:t>
      </w:r>
      <w:bookmarkEnd w:id="30"/>
    </w:p>
    <w:p>
      <w:pPr>
        <w:spacing w:line="400" w:lineRule="exact"/>
        <w:rPr>
          <w:rFonts w:ascii="宋体" w:hAnsi="宋体" w:cs="宋体"/>
          <w:b/>
          <w:bCs/>
          <w:color w:val="auto"/>
          <w:sz w:val="24"/>
          <w:szCs w:val="24"/>
        </w:rPr>
      </w:pPr>
      <w:r>
        <w:rPr>
          <w:rFonts w:hint="eastAsia" w:ascii="宋体" w:hAnsi="宋体" w:cs="宋体"/>
          <w:color w:val="auto"/>
          <w:sz w:val="24"/>
          <w:szCs w:val="24"/>
        </w:rPr>
        <w:t xml:space="preserve">    是否要求投标人提交投标保证金：</w:t>
      </w:r>
      <w:r>
        <w:rPr>
          <w:rFonts w:hint="eastAsia" w:ascii="宋体" w:hAnsi="宋体" w:cs="宋体"/>
          <w:color w:val="auto"/>
          <w:sz w:val="24"/>
          <w:szCs w:val="24"/>
          <w:lang w:val="en-US" w:eastAsia="zh-CN"/>
        </w:rPr>
        <w:t>不</w:t>
      </w:r>
      <w:r>
        <w:rPr>
          <w:rFonts w:hint="eastAsia" w:ascii="宋体" w:hAnsi="宋体" w:cs="宋体"/>
          <w:color w:val="auto"/>
          <w:sz w:val="24"/>
          <w:szCs w:val="24"/>
        </w:rPr>
        <w:t>要求。</w:t>
      </w:r>
    </w:p>
    <w:p>
      <w:pPr>
        <w:pStyle w:val="7"/>
        <w:numPr>
          <w:ilvl w:val="1"/>
          <w:numId w:val="0"/>
        </w:numPr>
        <w:spacing w:line="400" w:lineRule="exact"/>
        <w:ind w:left="851" w:hanging="420"/>
        <w:rPr>
          <w:rFonts w:ascii="宋体" w:hAnsi="宋体" w:eastAsia="宋体" w:cs="宋体"/>
          <w:color w:val="auto"/>
          <w:sz w:val="24"/>
          <w:szCs w:val="24"/>
        </w:rPr>
      </w:pPr>
      <w:bookmarkStart w:id="31" w:name="_Toc58430312"/>
      <w:r>
        <w:rPr>
          <w:rFonts w:hint="eastAsia" w:ascii="宋体" w:hAnsi="宋体" w:eastAsia="宋体" w:cs="宋体"/>
          <w:color w:val="auto"/>
          <w:sz w:val="24"/>
          <w:szCs w:val="24"/>
        </w:rPr>
        <w:t>六、对本次招标提出询问，请按以下方式联系</w:t>
      </w:r>
      <w:bookmarkEnd w:id="31"/>
    </w:p>
    <w:p>
      <w:pPr>
        <w:widowControl/>
        <w:spacing w:line="400" w:lineRule="exact"/>
        <w:jc w:val="left"/>
        <w:rPr>
          <w:rFonts w:ascii="宋体" w:hAnsi="宋体" w:cs="宋体"/>
          <w:color w:val="auto"/>
          <w:sz w:val="24"/>
          <w:szCs w:val="24"/>
        </w:rPr>
      </w:pPr>
      <w:r>
        <w:rPr>
          <w:rFonts w:hint="eastAsia" w:ascii="宋体" w:hAnsi="宋体" w:cs="宋体"/>
          <w:color w:val="auto"/>
          <w:sz w:val="24"/>
          <w:szCs w:val="24"/>
        </w:rPr>
        <w:t>　　　1.招标人信息</w:t>
      </w:r>
    </w:p>
    <w:p>
      <w:pPr>
        <w:spacing w:line="400" w:lineRule="exact"/>
        <w:ind w:left="1079" w:leftChars="371" w:hanging="300" w:hangingChars="125"/>
        <w:jc w:val="left"/>
        <w:rPr>
          <w:rFonts w:ascii="宋体" w:hAnsi="宋体" w:cs="宋体"/>
          <w:color w:val="auto"/>
          <w:sz w:val="24"/>
          <w:szCs w:val="24"/>
        </w:rPr>
      </w:pPr>
      <w:r>
        <w:rPr>
          <w:rFonts w:hint="eastAsia" w:ascii="宋体" w:hAnsi="宋体" w:cs="宋体"/>
          <w:color w:val="auto"/>
          <w:sz w:val="24"/>
          <w:szCs w:val="24"/>
        </w:rPr>
        <w:t>名 称：</w:t>
      </w:r>
      <w:r>
        <w:rPr>
          <w:rFonts w:hint="eastAsia" w:ascii="宋体" w:hAnsi="宋体" w:cs="宋体"/>
          <w:color w:val="auto"/>
          <w:sz w:val="24"/>
          <w:szCs w:val="24"/>
          <w:u w:val="single"/>
          <w:lang w:eastAsia="zh-CN"/>
        </w:rPr>
        <w:t>滁州工投新能源开发有限公司</w:t>
      </w:r>
    </w:p>
    <w:p>
      <w:pPr>
        <w:spacing w:line="400" w:lineRule="exact"/>
        <w:ind w:left="1079" w:leftChars="371" w:hanging="300" w:hangingChars="125"/>
        <w:jc w:val="left"/>
        <w:rPr>
          <w:rFonts w:ascii="宋体" w:hAnsi="宋体" w:cs="宋体"/>
          <w:color w:val="auto"/>
          <w:sz w:val="24"/>
          <w:szCs w:val="24"/>
        </w:rPr>
      </w:pPr>
      <w:r>
        <w:rPr>
          <w:rFonts w:hint="eastAsia" w:ascii="宋体" w:hAnsi="宋体" w:cs="宋体"/>
          <w:color w:val="auto"/>
          <w:sz w:val="24"/>
          <w:szCs w:val="24"/>
        </w:rPr>
        <w:t>地址：</w:t>
      </w:r>
      <w:r>
        <w:rPr>
          <w:rFonts w:hint="eastAsia" w:ascii="宋体" w:hAnsi="宋体" w:cs="宋体"/>
          <w:color w:val="auto"/>
          <w:sz w:val="24"/>
          <w:szCs w:val="24"/>
          <w:u w:val="single"/>
        </w:rPr>
        <w:t>滁州市凤凰东路476号投资大厦</w:t>
      </w:r>
    </w:p>
    <w:p>
      <w:pPr>
        <w:spacing w:line="400" w:lineRule="exact"/>
        <w:ind w:left="1079" w:leftChars="371" w:hanging="300" w:hangingChars="125"/>
        <w:jc w:val="left"/>
        <w:rPr>
          <w:rFonts w:ascii="宋体" w:hAnsi="宋体" w:cs="宋体"/>
          <w:color w:val="auto"/>
          <w:sz w:val="24"/>
          <w:szCs w:val="24"/>
        </w:rPr>
      </w:pPr>
      <w:bookmarkStart w:id="32" w:name="_Toc28359009"/>
      <w:bookmarkStart w:id="33" w:name="_Toc28359086"/>
      <w:r>
        <w:rPr>
          <w:rFonts w:hint="eastAsia" w:ascii="宋体" w:hAnsi="宋体" w:cs="宋体"/>
          <w:color w:val="auto"/>
          <w:sz w:val="24"/>
          <w:szCs w:val="24"/>
        </w:rPr>
        <w:t>2.采购代理机构信息</w:t>
      </w:r>
      <w:bookmarkEnd w:id="32"/>
      <w:bookmarkEnd w:id="33"/>
    </w:p>
    <w:p>
      <w:pPr>
        <w:spacing w:line="400" w:lineRule="exact"/>
        <w:ind w:firstLine="720" w:firstLineChars="300"/>
        <w:rPr>
          <w:rFonts w:ascii="宋体" w:hAnsi="宋体" w:cs="宋体"/>
          <w:color w:val="auto"/>
          <w:sz w:val="24"/>
          <w:szCs w:val="24"/>
        </w:rPr>
      </w:pPr>
      <w:r>
        <w:rPr>
          <w:rFonts w:hint="eastAsia" w:ascii="宋体" w:hAnsi="宋体" w:cs="宋体"/>
          <w:color w:val="auto"/>
          <w:sz w:val="24"/>
          <w:szCs w:val="24"/>
        </w:rPr>
        <w:t>名 称：</w:t>
      </w:r>
      <w:r>
        <w:rPr>
          <w:rFonts w:hint="eastAsia" w:ascii="宋体" w:hAnsi="宋体" w:cs="宋体"/>
          <w:color w:val="auto"/>
          <w:sz w:val="24"/>
          <w:szCs w:val="24"/>
          <w:u w:val="single"/>
        </w:rPr>
        <w:t>滁州市城投工程咨询管理有限公司</w:t>
      </w:r>
    </w:p>
    <w:p>
      <w:pPr>
        <w:spacing w:line="400" w:lineRule="exact"/>
        <w:ind w:firstLine="720" w:firstLineChars="300"/>
        <w:rPr>
          <w:rFonts w:ascii="宋体" w:hAnsi="宋体" w:cs="宋体"/>
          <w:color w:val="auto"/>
          <w:sz w:val="24"/>
          <w:szCs w:val="24"/>
          <w:u w:val="single"/>
        </w:rPr>
      </w:pPr>
      <w:r>
        <w:rPr>
          <w:rFonts w:hint="eastAsia" w:ascii="宋体" w:hAnsi="宋体" w:cs="宋体"/>
          <w:color w:val="auto"/>
          <w:sz w:val="24"/>
          <w:szCs w:val="24"/>
        </w:rPr>
        <w:t>地　址：</w:t>
      </w:r>
      <w:r>
        <w:rPr>
          <w:rFonts w:hint="eastAsia" w:ascii="宋体" w:hAnsi="宋体" w:cs="宋体"/>
          <w:color w:val="auto"/>
          <w:sz w:val="24"/>
          <w:szCs w:val="24"/>
          <w:u w:val="single"/>
        </w:rPr>
        <w:t>滁州市龙蟠大道109号房产大厦六楼</w:t>
      </w:r>
    </w:p>
    <w:p>
      <w:pPr>
        <w:spacing w:line="400" w:lineRule="exact"/>
        <w:ind w:firstLine="720" w:firstLineChars="300"/>
        <w:rPr>
          <w:rFonts w:ascii="宋体" w:hAnsi="宋体" w:cs="宋体"/>
          <w:color w:val="auto"/>
          <w:sz w:val="24"/>
          <w:szCs w:val="24"/>
          <w:u w:val="single"/>
        </w:rPr>
      </w:pPr>
      <w:bookmarkStart w:id="34" w:name="_Toc28359087"/>
      <w:bookmarkStart w:id="35" w:name="_Toc28359010"/>
      <w:r>
        <w:rPr>
          <w:rFonts w:hint="eastAsia" w:ascii="宋体" w:hAnsi="宋体" w:cs="宋体"/>
          <w:color w:val="auto"/>
          <w:sz w:val="24"/>
          <w:szCs w:val="24"/>
        </w:rPr>
        <w:t>3.项目联系方式</w:t>
      </w:r>
      <w:bookmarkEnd w:id="34"/>
      <w:bookmarkEnd w:id="35"/>
    </w:p>
    <w:p>
      <w:pPr>
        <w:pStyle w:val="24"/>
        <w:spacing w:line="400" w:lineRule="exact"/>
        <w:ind w:firstLine="720" w:firstLineChars="300"/>
        <w:rPr>
          <w:rFonts w:hint="eastAsia" w:hAnsi="宋体" w:eastAsia="宋体"/>
          <w:color w:val="auto"/>
          <w:sz w:val="24"/>
          <w:szCs w:val="24"/>
          <w:lang w:eastAsia="zh-CN"/>
        </w:rPr>
      </w:pPr>
      <w:r>
        <w:rPr>
          <w:rFonts w:hint="eastAsia" w:hAnsi="宋体"/>
          <w:color w:val="auto"/>
          <w:sz w:val="24"/>
          <w:szCs w:val="24"/>
        </w:rPr>
        <w:t>项目联系人：</w:t>
      </w:r>
      <w:r>
        <w:rPr>
          <w:rFonts w:hint="eastAsia" w:hAnsi="宋体"/>
          <w:color w:val="auto"/>
          <w:sz w:val="24"/>
          <w:szCs w:val="24"/>
          <w:u w:val="single"/>
          <w:lang w:eastAsia="zh-CN"/>
        </w:rPr>
        <w:t>姚烨、王芳</w:t>
      </w:r>
    </w:p>
    <w:p>
      <w:pPr>
        <w:spacing w:line="400" w:lineRule="exact"/>
        <w:ind w:firstLine="720" w:firstLineChars="300"/>
        <w:rPr>
          <w:rFonts w:ascii="宋体" w:hAnsi="宋体" w:cs="宋体"/>
          <w:color w:val="auto"/>
          <w:sz w:val="24"/>
          <w:szCs w:val="24"/>
          <w:u w:val="single"/>
        </w:rPr>
      </w:pPr>
      <w:r>
        <w:rPr>
          <w:rFonts w:hint="eastAsia" w:ascii="宋体" w:hAnsi="宋体" w:cs="宋体"/>
          <w:color w:val="auto"/>
          <w:sz w:val="24"/>
          <w:szCs w:val="24"/>
        </w:rPr>
        <w:t>电　话：</w:t>
      </w:r>
      <w:r>
        <w:rPr>
          <w:rFonts w:hint="eastAsia" w:ascii="宋体" w:hAnsi="宋体" w:cs="宋体"/>
          <w:color w:val="auto"/>
          <w:sz w:val="24"/>
          <w:szCs w:val="24"/>
          <w:u w:val="single"/>
          <w:lang w:eastAsia="zh-CN"/>
        </w:rPr>
        <w:t>18005500525</w:t>
      </w:r>
      <w:r>
        <w:rPr>
          <w:rFonts w:hint="eastAsia" w:ascii="宋体" w:hAnsi="宋体" w:cs="宋体"/>
          <w:color w:val="auto"/>
          <w:sz w:val="24"/>
          <w:szCs w:val="24"/>
          <w:u w:val="single"/>
        </w:rPr>
        <w:t>、</w:t>
      </w:r>
      <w:r>
        <w:rPr>
          <w:rFonts w:hint="eastAsia" w:ascii="宋体" w:hAnsi="宋体" w:cs="宋体"/>
          <w:color w:val="auto"/>
          <w:sz w:val="24"/>
          <w:szCs w:val="24"/>
          <w:u w:val="single"/>
          <w:lang w:eastAsia="zh-CN"/>
        </w:rPr>
        <w:t>18955055067</w:t>
      </w:r>
    </w:p>
    <w:p>
      <w:pPr>
        <w:spacing w:before="159" w:beforeLines="50" w:after="159" w:afterLines="50" w:line="440" w:lineRule="exact"/>
        <w:rPr>
          <w:rFonts w:ascii="宋体" w:hAnsi="宋体" w:cs="宋体"/>
          <w:b/>
          <w:bCs/>
          <w:color w:val="auto"/>
          <w:sz w:val="28"/>
          <w:szCs w:val="28"/>
        </w:rPr>
      </w:pPr>
    </w:p>
    <w:p>
      <w:pPr>
        <w:spacing w:before="159" w:beforeLines="50" w:after="159" w:afterLines="50" w:line="440" w:lineRule="exact"/>
        <w:jc w:val="center"/>
        <w:outlineLvl w:val="0"/>
        <w:rPr>
          <w:rFonts w:ascii="宋体" w:hAnsi="宋体" w:cs="宋体"/>
          <w:b/>
          <w:bCs/>
          <w:color w:val="auto"/>
          <w:sz w:val="28"/>
          <w:szCs w:val="28"/>
        </w:rPr>
      </w:pPr>
      <w:bookmarkStart w:id="36" w:name="_Toc5455"/>
    </w:p>
    <w:p>
      <w:pPr>
        <w:spacing w:before="159" w:beforeLines="50" w:after="159" w:afterLines="50" w:line="440" w:lineRule="exact"/>
        <w:jc w:val="center"/>
        <w:outlineLvl w:val="0"/>
        <w:rPr>
          <w:rFonts w:ascii="宋体" w:hAnsi="宋体" w:cs="宋体"/>
          <w:b/>
          <w:bCs/>
          <w:color w:val="auto"/>
          <w:sz w:val="28"/>
          <w:szCs w:val="28"/>
        </w:rPr>
      </w:pPr>
    </w:p>
    <w:p>
      <w:pPr>
        <w:spacing w:before="159" w:beforeLines="50" w:after="159" w:afterLines="50" w:line="440" w:lineRule="exact"/>
        <w:jc w:val="center"/>
        <w:outlineLvl w:val="0"/>
        <w:rPr>
          <w:rFonts w:ascii="宋体" w:hAnsi="宋体" w:cs="宋体"/>
          <w:b/>
          <w:bCs/>
          <w:color w:val="auto"/>
          <w:sz w:val="28"/>
          <w:szCs w:val="28"/>
        </w:rPr>
      </w:pPr>
    </w:p>
    <w:p>
      <w:pPr>
        <w:pStyle w:val="27"/>
        <w:rPr>
          <w:rFonts w:ascii="宋体" w:hAnsi="宋体" w:cs="宋体"/>
          <w:b/>
          <w:bCs/>
          <w:color w:val="auto"/>
          <w:sz w:val="28"/>
          <w:szCs w:val="28"/>
        </w:rPr>
      </w:pPr>
    </w:p>
    <w:p>
      <w:pPr>
        <w:pStyle w:val="27"/>
        <w:rPr>
          <w:rFonts w:ascii="宋体" w:hAnsi="宋体" w:cs="宋体"/>
          <w:b/>
          <w:bCs/>
          <w:color w:val="auto"/>
          <w:sz w:val="28"/>
          <w:szCs w:val="28"/>
        </w:rPr>
      </w:pPr>
    </w:p>
    <w:p>
      <w:pPr>
        <w:pStyle w:val="27"/>
        <w:rPr>
          <w:rFonts w:ascii="宋体" w:hAnsi="宋体" w:cs="宋体"/>
          <w:b/>
          <w:bCs/>
          <w:color w:val="auto"/>
          <w:sz w:val="28"/>
          <w:szCs w:val="28"/>
        </w:rPr>
      </w:pPr>
    </w:p>
    <w:p>
      <w:pPr>
        <w:pStyle w:val="27"/>
        <w:rPr>
          <w:rFonts w:ascii="宋体" w:hAnsi="宋体" w:cs="宋体"/>
          <w:b/>
          <w:bCs/>
          <w:color w:val="auto"/>
          <w:sz w:val="28"/>
          <w:szCs w:val="28"/>
        </w:rPr>
      </w:pPr>
    </w:p>
    <w:p>
      <w:pPr>
        <w:pStyle w:val="27"/>
        <w:rPr>
          <w:rFonts w:ascii="宋体" w:hAnsi="宋体" w:cs="宋体"/>
          <w:b/>
          <w:bCs/>
          <w:color w:val="auto"/>
          <w:sz w:val="28"/>
          <w:szCs w:val="28"/>
        </w:rPr>
      </w:pPr>
    </w:p>
    <w:p>
      <w:pPr>
        <w:spacing w:before="159" w:beforeLines="50" w:after="159" w:afterLines="50" w:line="440" w:lineRule="exact"/>
        <w:jc w:val="center"/>
        <w:outlineLvl w:val="0"/>
        <w:rPr>
          <w:rFonts w:ascii="宋体" w:hAnsi="宋体" w:cs="宋体"/>
          <w:b/>
          <w:bCs/>
          <w:color w:val="auto"/>
          <w:sz w:val="28"/>
          <w:szCs w:val="28"/>
        </w:rPr>
      </w:pPr>
    </w:p>
    <w:p>
      <w:pPr>
        <w:spacing w:before="159" w:beforeLines="50" w:after="159" w:afterLines="50" w:line="440" w:lineRule="exact"/>
        <w:jc w:val="center"/>
        <w:outlineLvl w:val="0"/>
        <w:rPr>
          <w:rFonts w:hint="eastAsia" w:ascii="宋体" w:hAnsi="宋体" w:cs="宋体"/>
          <w:b/>
          <w:bCs/>
          <w:color w:val="auto"/>
          <w:sz w:val="28"/>
          <w:szCs w:val="28"/>
        </w:rPr>
      </w:pPr>
    </w:p>
    <w:p>
      <w:pPr>
        <w:pStyle w:val="27"/>
        <w:rPr>
          <w:rFonts w:hint="eastAsia" w:ascii="宋体" w:hAnsi="宋体" w:cs="宋体"/>
          <w:b/>
          <w:bCs/>
          <w:color w:val="auto"/>
          <w:sz w:val="28"/>
          <w:szCs w:val="28"/>
        </w:rPr>
      </w:pPr>
    </w:p>
    <w:p>
      <w:pPr>
        <w:pStyle w:val="27"/>
        <w:rPr>
          <w:rFonts w:hint="eastAsia" w:ascii="宋体" w:hAnsi="宋体" w:cs="宋体"/>
          <w:b/>
          <w:bCs/>
          <w:color w:val="auto"/>
          <w:sz w:val="28"/>
          <w:szCs w:val="28"/>
        </w:rPr>
      </w:pPr>
    </w:p>
    <w:p>
      <w:pPr>
        <w:spacing w:before="159" w:beforeLines="50" w:after="159" w:afterLines="50" w:line="440" w:lineRule="exact"/>
        <w:jc w:val="center"/>
        <w:outlineLvl w:val="0"/>
        <w:rPr>
          <w:rFonts w:ascii="宋体" w:hAnsi="宋体" w:cs="宋体"/>
          <w:color w:val="auto"/>
        </w:rPr>
      </w:pPr>
      <w:bookmarkStart w:id="37" w:name="_Toc13347"/>
      <w:r>
        <w:rPr>
          <w:rFonts w:hint="eastAsia" w:ascii="宋体" w:hAnsi="宋体" w:cs="宋体"/>
          <w:b/>
          <w:bCs/>
          <w:color w:val="auto"/>
          <w:sz w:val="28"/>
          <w:szCs w:val="28"/>
        </w:rPr>
        <w:t>A、投标须知前附表</w:t>
      </w:r>
      <w:bookmarkEnd w:id="36"/>
      <w:bookmarkEnd w:id="37"/>
    </w:p>
    <w:tbl>
      <w:tblPr>
        <w:tblStyle w:val="45"/>
        <w:tblW w:w="9967" w:type="dxa"/>
        <w:jc w:val="center"/>
        <w:tblLayout w:type="fixed"/>
        <w:tblCellMar>
          <w:top w:w="0" w:type="dxa"/>
          <w:left w:w="0" w:type="dxa"/>
          <w:bottom w:w="0" w:type="dxa"/>
          <w:right w:w="0" w:type="dxa"/>
        </w:tblCellMar>
      </w:tblPr>
      <w:tblGrid>
        <w:gridCol w:w="831"/>
        <w:gridCol w:w="1881"/>
        <w:gridCol w:w="7255"/>
      </w:tblGrid>
      <w:tr>
        <w:tblPrEx>
          <w:tblCellMar>
            <w:top w:w="0" w:type="dxa"/>
            <w:left w:w="0" w:type="dxa"/>
            <w:bottom w:w="0" w:type="dxa"/>
            <w:right w:w="0" w:type="dxa"/>
          </w:tblCellMar>
        </w:tblPrEx>
        <w:trPr>
          <w:trHeight w:val="580" w:hRule="atLeast"/>
          <w:jc w:val="center"/>
        </w:trPr>
        <w:tc>
          <w:tcPr>
            <w:tcW w:w="831" w:type="dxa"/>
            <w:tcBorders>
              <w:top w:val="single" w:color="auto" w:sz="8" w:space="0"/>
              <w:left w:val="single" w:color="auto" w:sz="8" w:space="0"/>
              <w:bottom w:val="single" w:color="auto" w:sz="8" w:space="0"/>
              <w:right w:val="single" w:color="auto" w:sz="8" w:space="0"/>
            </w:tcBorders>
            <w:vAlign w:val="center"/>
          </w:tcPr>
          <w:p>
            <w:pPr>
              <w:keepNext w:val="0"/>
              <w:keepLines w:val="0"/>
              <w:pageBreakBefore w:val="0"/>
              <w:kinsoku/>
              <w:wordWrap/>
              <w:overflowPunct/>
              <w:autoSpaceDE/>
              <w:autoSpaceDN/>
              <w:bidi w:val="0"/>
              <w:adjustRightInd/>
              <w:snapToGrid/>
              <w:spacing w:line="400" w:lineRule="exact"/>
              <w:jc w:val="center"/>
              <w:textAlignment w:val="auto"/>
              <w:rPr>
                <w:rFonts w:hint="eastAsia" w:ascii="宋体" w:hAnsi="宋体" w:eastAsia="宋体" w:cs="宋体"/>
                <w:b/>
                <w:bCs/>
                <w:color w:val="auto"/>
                <w:kern w:val="0"/>
                <w:sz w:val="24"/>
                <w:szCs w:val="24"/>
              </w:rPr>
            </w:pPr>
            <w:r>
              <w:rPr>
                <w:rFonts w:hint="eastAsia" w:ascii="宋体" w:hAnsi="宋体" w:eastAsia="宋体" w:cs="宋体"/>
                <w:b/>
                <w:bCs/>
                <w:color w:val="auto"/>
                <w:kern w:val="0"/>
                <w:sz w:val="24"/>
                <w:szCs w:val="24"/>
              </w:rPr>
              <w:t>编号</w:t>
            </w:r>
          </w:p>
        </w:tc>
        <w:tc>
          <w:tcPr>
            <w:tcW w:w="1881" w:type="dxa"/>
            <w:tcBorders>
              <w:top w:val="single" w:color="auto" w:sz="8" w:space="0"/>
              <w:left w:val="single" w:color="auto" w:sz="4" w:space="0"/>
              <w:bottom w:val="single" w:color="auto" w:sz="8" w:space="0"/>
              <w:right w:val="single" w:color="auto" w:sz="4" w:space="0"/>
            </w:tcBorders>
            <w:vAlign w:val="center"/>
          </w:tcPr>
          <w:p>
            <w:pPr>
              <w:keepNext w:val="0"/>
              <w:keepLines w:val="0"/>
              <w:pageBreakBefore w:val="0"/>
              <w:kinsoku/>
              <w:wordWrap/>
              <w:overflowPunct/>
              <w:autoSpaceDE/>
              <w:autoSpaceDN/>
              <w:bidi w:val="0"/>
              <w:adjustRightInd/>
              <w:snapToGrid/>
              <w:spacing w:line="400" w:lineRule="exact"/>
              <w:jc w:val="center"/>
              <w:textAlignment w:val="auto"/>
              <w:rPr>
                <w:rFonts w:hint="eastAsia" w:ascii="宋体" w:hAnsi="宋体" w:eastAsia="宋体" w:cs="宋体"/>
                <w:b/>
                <w:bCs/>
                <w:color w:val="auto"/>
                <w:kern w:val="0"/>
                <w:sz w:val="24"/>
                <w:szCs w:val="24"/>
              </w:rPr>
            </w:pPr>
            <w:r>
              <w:rPr>
                <w:rFonts w:hint="eastAsia" w:ascii="宋体" w:hAnsi="宋体" w:eastAsia="宋体" w:cs="宋体"/>
                <w:b/>
                <w:bCs/>
                <w:color w:val="auto"/>
                <w:kern w:val="0"/>
                <w:sz w:val="24"/>
                <w:szCs w:val="24"/>
              </w:rPr>
              <w:t>内容</w:t>
            </w:r>
          </w:p>
        </w:tc>
        <w:tc>
          <w:tcPr>
            <w:tcW w:w="7255" w:type="dxa"/>
            <w:tcBorders>
              <w:top w:val="single" w:color="auto" w:sz="8" w:space="0"/>
              <w:left w:val="single" w:color="auto" w:sz="4" w:space="0"/>
              <w:bottom w:val="single" w:color="auto" w:sz="8" w:space="0"/>
              <w:right w:val="single" w:color="auto" w:sz="8" w:space="0"/>
            </w:tcBorders>
            <w:vAlign w:val="center"/>
          </w:tcPr>
          <w:p>
            <w:pPr>
              <w:keepNext w:val="0"/>
              <w:keepLines w:val="0"/>
              <w:pageBreakBefore w:val="0"/>
              <w:kinsoku/>
              <w:wordWrap/>
              <w:overflowPunct/>
              <w:autoSpaceDE/>
              <w:autoSpaceDN/>
              <w:bidi w:val="0"/>
              <w:adjustRightInd/>
              <w:snapToGrid/>
              <w:spacing w:line="400" w:lineRule="exact"/>
              <w:jc w:val="center"/>
              <w:textAlignment w:val="auto"/>
              <w:rPr>
                <w:rFonts w:hint="eastAsia" w:ascii="宋体" w:hAnsi="宋体" w:eastAsia="宋体" w:cs="宋体"/>
                <w:b/>
                <w:bCs/>
                <w:color w:val="auto"/>
                <w:kern w:val="0"/>
                <w:sz w:val="24"/>
                <w:szCs w:val="24"/>
              </w:rPr>
            </w:pPr>
            <w:r>
              <w:rPr>
                <w:rFonts w:hint="eastAsia" w:ascii="宋体" w:hAnsi="宋体" w:eastAsia="宋体" w:cs="宋体"/>
                <w:b/>
                <w:bCs/>
                <w:color w:val="auto"/>
                <w:kern w:val="0"/>
                <w:sz w:val="24"/>
                <w:szCs w:val="24"/>
              </w:rPr>
              <w:t>说明与要求</w:t>
            </w:r>
          </w:p>
        </w:tc>
      </w:tr>
      <w:tr>
        <w:tblPrEx>
          <w:tblCellMar>
            <w:top w:w="0" w:type="dxa"/>
            <w:left w:w="0" w:type="dxa"/>
            <w:bottom w:w="0" w:type="dxa"/>
            <w:right w:w="0" w:type="dxa"/>
          </w:tblCellMar>
        </w:tblPrEx>
        <w:trPr>
          <w:trHeight w:val="986" w:hRule="atLeast"/>
          <w:jc w:val="center"/>
        </w:trPr>
        <w:tc>
          <w:tcPr>
            <w:tcW w:w="831" w:type="dxa"/>
            <w:tcBorders>
              <w:top w:val="single" w:color="auto" w:sz="8" w:space="0"/>
              <w:left w:val="single" w:color="auto" w:sz="8" w:space="0"/>
              <w:bottom w:val="single" w:color="auto" w:sz="8" w:space="0"/>
              <w:right w:val="single" w:color="auto" w:sz="8" w:space="0"/>
            </w:tcBorders>
            <w:vAlign w:val="center"/>
          </w:tcPr>
          <w:p>
            <w:pPr>
              <w:keepNext w:val="0"/>
              <w:keepLines w:val="0"/>
              <w:pageBreakBefore w:val="0"/>
              <w:kinsoku/>
              <w:wordWrap/>
              <w:overflowPunct/>
              <w:autoSpaceDE/>
              <w:autoSpaceDN/>
              <w:bidi w:val="0"/>
              <w:adjustRightInd/>
              <w:snapToGrid/>
              <w:spacing w:line="400" w:lineRule="exact"/>
              <w:jc w:val="center"/>
              <w:textAlignment w:val="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1</w:t>
            </w:r>
          </w:p>
        </w:tc>
        <w:tc>
          <w:tcPr>
            <w:tcW w:w="1881" w:type="dxa"/>
            <w:tcBorders>
              <w:top w:val="single" w:color="auto" w:sz="8" w:space="0"/>
              <w:left w:val="single" w:color="auto" w:sz="4" w:space="0"/>
              <w:bottom w:val="single" w:color="auto" w:sz="8" w:space="0"/>
              <w:right w:val="single" w:color="auto" w:sz="4" w:space="0"/>
            </w:tcBorders>
            <w:vAlign w:val="center"/>
          </w:tcPr>
          <w:p>
            <w:pPr>
              <w:keepNext w:val="0"/>
              <w:keepLines w:val="0"/>
              <w:pageBreakBefore w:val="0"/>
              <w:kinsoku/>
              <w:wordWrap/>
              <w:overflowPunct/>
              <w:autoSpaceDE/>
              <w:autoSpaceDN/>
              <w:bidi w:val="0"/>
              <w:adjustRightInd/>
              <w:snapToGrid/>
              <w:spacing w:line="400" w:lineRule="exact"/>
              <w:jc w:val="center"/>
              <w:textAlignment w:val="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项目概况</w:t>
            </w:r>
          </w:p>
        </w:tc>
        <w:tc>
          <w:tcPr>
            <w:tcW w:w="7255" w:type="dxa"/>
            <w:tcBorders>
              <w:top w:val="single" w:color="auto" w:sz="8" w:space="0"/>
              <w:left w:val="single" w:color="auto" w:sz="4" w:space="0"/>
              <w:bottom w:val="single" w:color="auto" w:sz="8" w:space="0"/>
              <w:right w:val="single" w:color="auto" w:sz="8" w:space="0"/>
            </w:tcBorders>
            <w:vAlign w:val="center"/>
          </w:tcPr>
          <w:p>
            <w:pPr>
              <w:keepNext w:val="0"/>
              <w:keepLines w:val="0"/>
              <w:pageBreakBefore w:val="0"/>
              <w:kinsoku/>
              <w:wordWrap/>
              <w:overflowPunct/>
              <w:autoSpaceDE/>
              <w:autoSpaceDN/>
              <w:bidi w:val="0"/>
              <w:adjustRightInd/>
              <w:snapToGrid/>
              <w:spacing w:line="400" w:lineRule="exact"/>
              <w:jc w:val="left"/>
              <w:textAlignment w:val="auto"/>
              <w:rPr>
                <w:rFonts w:hint="eastAsia" w:ascii="宋体" w:hAnsi="宋体" w:eastAsia="宋体" w:cs="宋体"/>
                <w:color w:val="auto"/>
                <w:kern w:val="0"/>
                <w:sz w:val="24"/>
                <w:szCs w:val="24"/>
                <w:lang w:eastAsia="zh-CN"/>
              </w:rPr>
            </w:pPr>
            <w:r>
              <w:rPr>
                <w:rFonts w:hint="eastAsia" w:ascii="宋体" w:hAnsi="宋体" w:eastAsia="宋体" w:cs="宋体"/>
                <w:color w:val="auto"/>
                <w:kern w:val="0"/>
                <w:sz w:val="24"/>
                <w:szCs w:val="24"/>
              </w:rPr>
              <w:t>工程名称：</w:t>
            </w:r>
            <w:r>
              <w:rPr>
                <w:rFonts w:hint="eastAsia" w:ascii="宋体" w:hAnsi="宋体" w:eastAsia="宋体" w:cs="宋体"/>
                <w:color w:val="auto"/>
                <w:kern w:val="0"/>
                <w:sz w:val="24"/>
                <w:szCs w:val="24"/>
                <w:lang w:eastAsia="zh-CN"/>
              </w:rPr>
              <w:t>滁州市区公共领域车辆电动化基础设施—低速新能源车充电设施项目跟踪审计</w:t>
            </w:r>
          </w:p>
          <w:p>
            <w:pPr>
              <w:keepNext w:val="0"/>
              <w:keepLines w:val="0"/>
              <w:pageBreakBefore w:val="0"/>
              <w:kinsoku/>
              <w:wordWrap/>
              <w:overflowPunct/>
              <w:autoSpaceDE/>
              <w:autoSpaceDN/>
              <w:bidi w:val="0"/>
              <w:adjustRightInd/>
              <w:snapToGrid/>
              <w:spacing w:line="400" w:lineRule="exact"/>
              <w:jc w:val="left"/>
              <w:textAlignment w:val="auto"/>
              <w:rPr>
                <w:rFonts w:hint="eastAsia" w:ascii="宋体" w:hAnsi="宋体" w:eastAsia="宋体" w:cs="宋体"/>
                <w:color w:val="auto"/>
                <w:kern w:val="0"/>
                <w:sz w:val="24"/>
                <w:szCs w:val="24"/>
                <w:lang w:eastAsia="zh-CN"/>
              </w:rPr>
            </w:pPr>
            <w:r>
              <w:rPr>
                <w:rFonts w:hint="eastAsia" w:ascii="宋体" w:hAnsi="宋体" w:eastAsia="宋体" w:cs="宋体"/>
                <w:color w:val="auto"/>
                <w:kern w:val="0"/>
                <w:sz w:val="24"/>
                <w:szCs w:val="24"/>
              </w:rPr>
              <w:t>建设地点：</w:t>
            </w:r>
            <w:r>
              <w:rPr>
                <w:rFonts w:hint="eastAsia" w:ascii="宋体" w:hAnsi="宋体" w:eastAsia="宋体" w:cs="宋体"/>
                <w:color w:val="auto"/>
                <w:kern w:val="0"/>
                <w:sz w:val="24"/>
                <w:szCs w:val="24"/>
                <w:lang w:val="en-US" w:eastAsia="zh-CN"/>
              </w:rPr>
              <w:t>滁州市</w:t>
            </w:r>
          </w:p>
          <w:p>
            <w:pPr>
              <w:keepNext w:val="0"/>
              <w:keepLines w:val="0"/>
              <w:pageBreakBefore w:val="0"/>
              <w:kinsoku/>
              <w:wordWrap/>
              <w:overflowPunct/>
              <w:autoSpaceDE/>
              <w:autoSpaceDN/>
              <w:bidi w:val="0"/>
              <w:adjustRightInd/>
              <w:snapToGrid/>
              <w:spacing w:line="400" w:lineRule="exact"/>
              <w:jc w:val="left"/>
              <w:textAlignment w:val="auto"/>
              <w:rPr>
                <w:rFonts w:hint="eastAsia" w:ascii="宋体" w:hAnsi="宋体" w:eastAsia="宋体" w:cs="宋体"/>
                <w:color w:val="auto"/>
                <w:kern w:val="0"/>
                <w:sz w:val="24"/>
                <w:szCs w:val="24"/>
                <w:u w:val="single"/>
              </w:rPr>
            </w:pPr>
            <w:r>
              <w:rPr>
                <w:rFonts w:hint="eastAsia" w:ascii="宋体" w:hAnsi="宋体" w:eastAsia="宋体" w:cs="宋体"/>
                <w:color w:val="auto"/>
                <w:kern w:val="0"/>
                <w:sz w:val="24"/>
                <w:szCs w:val="24"/>
              </w:rPr>
              <w:t>建设规模：</w:t>
            </w:r>
            <w:r>
              <w:rPr>
                <w:rFonts w:hint="eastAsia" w:ascii="宋体" w:hAnsi="宋体" w:eastAsia="宋体" w:cs="宋体"/>
                <w:color w:val="auto"/>
                <w:sz w:val="24"/>
                <w:szCs w:val="24"/>
              </w:rPr>
              <w:t>投资约</w:t>
            </w:r>
            <w:r>
              <w:rPr>
                <w:rFonts w:hint="eastAsia" w:ascii="宋体" w:hAnsi="宋体" w:eastAsia="宋体" w:cs="宋体"/>
                <w:color w:val="auto"/>
                <w:sz w:val="24"/>
                <w:szCs w:val="24"/>
                <w:lang w:val="en-US" w:eastAsia="zh-CN"/>
              </w:rPr>
              <w:t>2800万</w:t>
            </w:r>
            <w:r>
              <w:rPr>
                <w:rFonts w:hint="eastAsia" w:ascii="宋体" w:hAnsi="宋体" w:eastAsia="宋体" w:cs="宋体"/>
                <w:color w:val="auto"/>
                <w:sz w:val="24"/>
                <w:szCs w:val="24"/>
              </w:rPr>
              <w:t>元。</w:t>
            </w:r>
          </w:p>
        </w:tc>
      </w:tr>
      <w:tr>
        <w:tblPrEx>
          <w:tblCellMar>
            <w:top w:w="0" w:type="dxa"/>
            <w:left w:w="0" w:type="dxa"/>
            <w:bottom w:w="0" w:type="dxa"/>
            <w:right w:w="0" w:type="dxa"/>
          </w:tblCellMar>
        </w:tblPrEx>
        <w:trPr>
          <w:trHeight w:val="255" w:hRule="atLeast"/>
          <w:jc w:val="center"/>
        </w:trPr>
        <w:tc>
          <w:tcPr>
            <w:tcW w:w="831" w:type="dxa"/>
            <w:tcBorders>
              <w:top w:val="single" w:color="auto" w:sz="8" w:space="0"/>
              <w:left w:val="single" w:color="auto" w:sz="8" w:space="0"/>
              <w:bottom w:val="single" w:color="auto" w:sz="8" w:space="0"/>
              <w:right w:val="single" w:color="auto" w:sz="8" w:space="0"/>
            </w:tcBorders>
            <w:vAlign w:val="center"/>
          </w:tcPr>
          <w:p>
            <w:pPr>
              <w:keepNext w:val="0"/>
              <w:keepLines w:val="0"/>
              <w:pageBreakBefore w:val="0"/>
              <w:kinsoku/>
              <w:wordWrap/>
              <w:overflowPunct/>
              <w:autoSpaceDE/>
              <w:autoSpaceDN/>
              <w:bidi w:val="0"/>
              <w:adjustRightInd/>
              <w:snapToGrid/>
              <w:spacing w:line="400" w:lineRule="exact"/>
              <w:jc w:val="center"/>
              <w:textAlignment w:val="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2</w:t>
            </w:r>
          </w:p>
        </w:tc>
        <w:tc>
          <w:tcPr>
            <w:tcW w:w="1881" w:type="dxa"/>
            <w:tcBorders>
              <w:top w:val="single" w:color="auto" w:sz="8" w:space="0"/>
              <w:left w:val="single" w:color="auto" w:sz="4" w:space="0"/>
              <w:bottom w:val="single" w:color="auto" w:sz="8" w:space="0"/>
              <w:right w:val="single" w:color="auto" w:sz="4" w:space="0"/>
            </w:tcBorders>
            <w:vAlign w:val="center"/>
          </w:tcPr>
          <w:p>
            <w:pPr>
              <w:keepNext w:val="0"/>
              <w:keepLines w:val="0"/>
              <w:pageBreakBefore w:val="0"/>
              <w:kinsoku/>
              <w:wordWrap/>
              <w:overflowPunct/>
              <w:autoSpaceDE/>
              <w:autoSpaceDN/>
              <w:bidi w:val="0"/>
              <w:adjustRightInd/>
              <w:snapToGrid/>
              <w:spacing w:line="400" w:lineRule="exact"/>
              <w:jc w:val="center"/>
              <w:textAlignment w:val="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招标范围</w:t>
            </w:r>
          </w:p>
        </w:tc>
        <w:tc>
          <w:tcPr>
            <w:tcW w:w="7255" w:type="dxa"/>
            <w:tcBorders>
              <w:top w:val="single" w:color="auto" w:sz="8" w:space="0"/>
              <w:left w:val="single" w:color="auto" w:sz="4" w:space="0"/>
              <w:bottom w:val="single" w:color="auto" w:sz="8" w:space="0"/>
              <w:right w:val="single" w:color="auto" w:sz="8" w:space="0"/>
            </w:tcBorders>
            <w:vAlign w:val="center"/>
          </w:tcPr>
          <w:p>
            <w:pPr>
              <w:pStyle w:val="24"/>
              <w:keepNext w:val="0"/>
              <w:keepLines w:val="0"/>
              <w:pageBreakBefore w:val="0"/>
              <w:kinsoku/>
              <w:wordWrap/>
              <w:overflowPunct/>
              <w:autoSpaceDE/>
              <w:autoSpaceDN/>
              <w:bidi w:val="0"/>
              <w:adjustRightInd/>
              <w:snapToGrid/>
              <w:spacing w:line="400" w:lineRule="exac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审计服务内容包含但不限于以下内容：</w:t>
            </w:r>
          </w:p>
          <w:p>
            <w:pPr>
              <w:pStyle w:val="24"/>
              <w:keepNext w:val="0"/>
              <w:keepLines w:val="0"/>
              <w:pageBreakBefore w:val="0"/>
              <w:kinsoku/>
              <w:wordWrap/>
              <w:overflowPunct/>
              <w:autoSpaceDE/>
              <w:autoSpaceDN/>
              <w:bidi w:val="0"/>
              <w:adjustRightInd/>
              <w:snapToGrid/>
              <w:spacing w:line="400" w:lineRule="exac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 xml:space="preserve">1、成立项目跟踪项目组，编制跟踪审计实施方案，确定投资控制目标、重点环节及应对措施； </w:t>
            </w:r>
          </w:p>
          <w:p>
            <w:pPr>
              <w:pStyle w:val="24"/>
              <w:keepNext w:val="0"/>
              <w:keepLines w:val="0"/>
              <w:pageBreakBefore w:val="0"/>
              <w:kinsoku/>
              <w:wordWrap/>
              <w:overflowPunct/>
              <w:autoSpaceDE/>
              <w:autoSpaceDN/>
              <w:bidi w:val="0"/>
              <w:adjustRightInd/>
              <w:snapToGrid/>
              <w:spacing w:line="400" w:lineRule="exac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2、审核项目前期资料（图纸、工程量清单及控制价、招标响应文件、施工合同等），向甲方提交审核结果；</w:t>
            </w:r>
          </w:p>
          <w:p>
            <w:pPr>
              <w:pStyle w:val="24"/>
              <w:keepNext w:val="0"/>
              <w:keepLines w:val="0"/>
              <w:pageBreakBefore w:val="0"/>
              <w:kinsoku/>
              <w:wordWrap/>
              <w:overflowPunct/>
              <w:autoSpaceDE/>
              <w:autoSpaceDN/>
              <w:bidi w:val="0"/>
              <w:adjustRightInd/>
              <w:snapToGrid/>
              <w:spacing w:line="400" w:lineRule="exac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3、对承包方上报的请款期已完成合格工程量的计量、计价进行审核，并提供按工程形象进度付款的意见、建议。</w:t>
            </w:r>
          </w:p>
          <w:p>
            <w:pPr>
              <w:pStyle w:val="24"/>
              <w:keepNext w:val="0"/>
              <w:keepLines w:val="0"/>
              <w:pageBreakBefore w:val="0"/>
              <w:kinsoku/>
              <w:wordWrap/>
              <w:overflowPunct/>
              <w:autoSpaceDE/>
              <w:autoSpaceDN/>
              <w:bidi w:val="0"/>
              <w:adjustRightInd/>
              <w:snapToGrid/>
              <w:spacing w:line="400" w:lineRule="exac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4、及时核定分阶段完工的项目分部、分项工程价款结算，项目竣工后，及时提交完整的竣工结算审核报告；</w:t>
            </w:r>
          </w:p>
          <w:p>
            <w:pPr>
              <w:pStyle w:val="24"/>
              <w:keepNext w:val="0"/>
              <w:keepLines w:val="0"/>
              <w:pageBreakBefore w:val="0"/>
              <w:kinsoku/>
              <w:wordWrap/>
              <w:overflowPunct/>
              <w:autoSpaceDE/>
              <w:autoSpaceDN/>
              <w:bidi w:val="0"/>
              <w:adjustRightInd/>
              <w:snapToGrid/>
              <w:spacing w:line="400" w:lineRule="exac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5、协助建设单位及时审核设计变更、经济签证等发生的费用，超过一定限额的，提请建设单位履行报批程序；</w:t>
            </w:r>
          </w:p>
          <w:p>
            <w:pPr>
              <w:pStyle w:val="24"/>
              <w:keepNext w:val="0"/>
              <w:keepLines w:val="0"/>
              <w:pageBreakBefore w:val="0"/>
              <w:kinsoku/>
              <w:wordWrap/>
              <w:overflowPunct/>
              <w:autoSpaceDE/>
              <w:autoSpaceDN/>
              <w:bidi w:val="0"/>
              <w:adjustRightInd/>
              <w:snapToGrid/>
              <w:spacing w:line="400" w:lineRule="exac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6、项目承、发包方发生工程价款结算争议时，为建设单位提供咨询意见；</w:t>
            </w:r>
          </w:p>
          <w:p>
            <w:pPr>
              <w:pStyle w:val="24"/>
              <w:keepNext w:val="0"/>
              <w:keepLines w:val="0"/>
              <w:pageBreakBefore w:val="0"/>
              <w:kinsoku/>
              <w:wordWrap/>
              <w:overflowPunct/>
              <w:autoSpaceDE/>
              <w:autoSpaceDN/>
              <w:bidi w:val="0"/>
              <w:adjustRightInd/>
              <w:snapToGrid/>
              <w:spacing w:line="400" w:lineRule="exac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 xml:space="preserve">7、参与项目建设管理的有关会议，对项目投资控制的有关事项发表独立审核意见； </w:t>
            </w:r>
          </w:p>
          <w:p>
            <w:pPr>
              <w:keepNext w:val="0"/>
              <w:keepLines w:val="0"/>
              <w:pageBreakBefore w:val="0"/>
              <w:kinsoku/>
              <w:wordWrap/>
              <w:overflowPunct/>
              <w:autoSpaceDE/>
              <w:autoSpaceDN/>
              <w:bidi w:val="0"/>
              <w:adjustRightInd/>
              <w:snapToGrid/>
              <w:spacing w:line="400" w:lineRule="exact"/>
              <w:jc w:val="left"/>
              <w:textAlignment w:val="auto"/>
              <w:rPr>
                <w:rFonts w:hint="eastAsia" w:ascii="宋体" w:hAnsi="宋体" w:eastAsia="宋体" w:cs="宋体"/>
                <w:color w:val="auto"/>
                <w:kern w:val="0"/>
                <w:sz w:val="24"/>
                <w:szCs w:val="24"/>
              </w:rPr>
            </w:pPr>
            <w:r>
              <w:rPr>
                <w:rFonts w:hint="eastAsia" w:ascii="宋体" w:hAnsi="宋体" w:eastAsia="宋体" w:cs="宋体"/>
                <w:color w:val="auto"/>
                <w:sz w:val="24"/>
                <w:szCs w:val="24"/>
              </w:rPr>
              <w:t>8、其他与项目投资控制相关的工作。</w:t>
            </w:r>
          </w:p>
        </w:tc>
      </w:tr>
      <w:tr>
        <w:tblPrEx>
          <w:tblCellMar>
            <w:top w:w="0" w:type="dxa"/>
            <w:left w:w="0" w:type="dxa"/>
            <w:bottom w:w="0" w:type="dxa"/>
            <w:right w:w="0" w:type="dxa"/>
          </w:tblCellMar>
        </w:tblPrEx>
        <w:trPr>
          <w:trHeight w:val="315" w:hRule="atLeast"/>
          <w:jc w:val="center"/>
        </w:trPr>
        <w:tc>
          <w:tcPr>
            <w:tcW w:w="831" w:type="dxa"/>
            <w:tcBorders>
              <w:top w:val="single" w:color="auto" w:sz="8" w:space="0"/>
              <w:left w:val="single" w:color="auto" w:sz="8" w:space="0"/>
              <w:bottom w:val="single" w:color="auto" w:sz="8" w:space="0"/>
              <w:right w:val="single" w:color="auto" w:sz="8" w:space="0"/>
            </w:tcBorders>
            <w:vAlign w:val="center"/>
          </w:tcPr>
          <w:p>
            <w:pPr>
              <w:keepNext w:val="0"/>
              <w:keepLines w:val="0"/>
              <w:pageBreakBefore w:val="0"/>
              <w:kinsoku/>
              <w:wordWrap/>
              <w:overflowPunct/>
              <w:autoSpaceDE/>
              <w:autoSpaceDN/>
              <w:bidi w:val="0"/>
              <w:adjustRightInd/>
              <w:snapToGrid/>
              <w:spacing w:line="400" w:lineRule="exact"/>
              <w:jc w:val="center"/>
              <w:textAlignment w:val="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3</w:t>
            </w:r>
          </w:p>
        </w:tc>
        <w:tc>
          <w:tcPr>
            <w:tcW w:w="1881" w:type="dxa"/>
            <w:tcBorders>
              <w:top w:val="single" w:color="auto" w:sz="8" w:space="0"/>
              <w:left w:val="single" w:color="auto" w:sz="4" w:space="0"/>
              <w:bottom w:val="single" w:color="auto" w:sz="8" w:space="0"/>
              <w:right w:val="single" w:color="auto" w:sz="4" w:space="0"/>
            </w:tcBorders>
            <w:vAlign w:val="center"/>
          </w:tcPr>
          <w:p>
            <w:pPr>
              <w:keepNext w:val="0"/>
              <w:keepLines w:val="0"/>
              <w:pageBreakBefore w:val="0"/>
              <w:kinsoku/>
              <w:wordWrap/>
              <w:overflowPunct/>
              <w:autoSpaceDE/>
              <w:autoSpaceDN/>
              <w:bidi w:val="0"/>
              <w:adjustRightInd/>
              <w:snapToGrid/>
              <w:spacing w:line="400" w:lineRule="exact"/>
              <w:jc w:val="center"/>
              <w:textAlignment w:val="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lang w:val="en-US" w:eastAsia="zh-CN"/>
              </w:rPr>
              <w:t>服务期</w:t>
            </w:r>
            <w:r>
              <w:rPr>
                <w:rFonts w:hint="eastAsia" w:ascii="宋体" w:hAnsi="宋体" w:eastAsia="宋体" w:cs="宋体"/>
                <w:color w:val="auto"/>
                <w:kern w:val="0"/>
                <w:sz w:val="24"/>
                <w:szCs w:val="24"/>
              </w:rPr>
              <w:t>要求</w:t>
            </w:r>
          </w:p>
        </w:tc>
        <w:tc>
          <w:tcPr>
            <w:tcW w:w="7255" w:type="dxa"/>
            <w:tcBorders>
              <w:top w:val="single" w:color="auto" w:sz="8" w:space="0"/>
              <w:left w:val="single" w:color="auto" w:sz="4" w:space="0"/>
              <w:bottom w:val="single" w:color="auto" w:sz="8" w:space="0"/>
              <w:right w:val="single" w:color="auto" w:sz="8" w:space="0"/>
            </w:tcBorders>
            <w:vAlign w:val="center"/>
          </w:tcPr>
          <w:p>
            <w:pPr>
              <w:keepNext w:val="0"/>
              <w:keepLines w:val="0"/>
              <w:pageBreakBefore w:val="0"/>
              <w:kinsoku/>
              <w:wordWrap/>
              <w:overflowPunct/>
              <w:autoSpaceDE/>
              <w:autoSpaceDN/>
              <w:bidi w:val="0"/>
              <w:adjustRightInd/>
              <w:snapToGrid/>
              <w:spacing w:line="400" w:lineRule="exact"/>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自签订合同之日起至整体竣工验收合格并出</w:t>
            </w:r>
            <w:r>
              <w:rPr>
                <w:rFonts w:hint="eastAsia" w:ascii="宋体" w:hAnsi="宋体" w:eastAsia="宋体" w:cs="宋体"/>
                <w:color w:val="auto"/>
                <w:sz w:val="24"/>
                <w:szCs w:val="24"/>
                <w:lang w:val="en-US" w:eastAsia="zh-CN"/>
              </w:rPr>
              <w:t>具审核成果文件止。</w:t>
            </w:r>
          </w:p>
        </w:tc>
      </w:tr>
      <w:tr>
        <w:tblPrEx>
          <w:tblCellMar>
            <w:top w:w="0" w:type="dxa"/>
            <w:left w:w="0" w:type="dxa"/>
            <w:bottom w:w="0" w:type="dxa"/>
            <w:right w:w="0" w:type="dxa"/>
          </w:tblCellMar>
        </w:tblPrEx>
        <w:trPr>
          <w:trHeight w:val="425" w:hRule="atLeast"/>
          <w:jc w:val="center"/>
        </w:trPr>
        <w:tc>
          <w:tcPr>
            <w:tcW w:w="831" w:type="dxa"/>
            <w:tcBorders>
              <w:top w:val="single" w:color="auto" w:sz="8" w:space="0"/>
              <w:left w:val="single" w:color="auto" w:sz="8" w:space="0"/>
              <w:bottom w:val="single" w:color="auto" w:sz="8" w:space="0"/>
              <w:right w:val="single" w:color="auto" w:sz="8" w:space="0"/>
            </w:tcBorders>
            <w:vAlign w:val="center"/>
          </w:tcPr>
          <w:p>
            <w:pPr>
              <w:keepNext w:val="0"/>
              <w:keepLines w:val="0"/>
              <w:pageBreakBefore w:val="0"/>
              <w:kinsoku/>
              <w:wordWrap/>
              <w:overflowPunct/>
              <w:autoSpaceDE/>
              <w:autoSpaceDN/>
              <w:bidi w:val="0"/>
              <w:adjustRightInd/>
              <w:snapToGrid/>
              <w:spacing w:line="400" w:lineRule="exact"/>
              <w:jc w:val="center"/>
              <w:textAlignment w:val="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4</w:t>
            </w:r>
          </w:p>
        </w:tc>
        <w:tc>
          <w:tcPr>
            <w:tcW w:w="1881" w:type="dxa"/>
            <w:tcBorders>
              <w:top w:val="single" w:color="auto" w:sz="8" w:space="0"/>
              <w:left w:val="single" w:color="auto" w:sz="4" w:space="0"/>
              <w:bottom w:val="single" w:color="auto" w:sz="8" w:space="0"/>
              <w:right w:val="single" w:color="auto" w:sz="4" w:space="0"/>
            </w:tcBorders>
            <w:vAlign w:val="center"/>
          </w:tcPr>
          <w:p>
            <w:pPr>
              <w:keepNext w:val="0"/>
              <w:keepLines w:val="0"/>
              <w:pageBreakBefore w:val="0"/>
              <w:kinsoku/>
              <w:wordWrap/>
              <w:overflowPunct/>
              <w:autoSpaceDE/>
              <w:autoSpaceDN/>
              <w:bidi w:val="0"/>
              <w:adjustRightInd/>
              <w:snapToGrid/>
              <w:spacing w:line="400" w:lineRule="exact"/>
              <w:ind w:left="1470" w:hanging="1680" w:hangingChars="700"/>
              <w:jc w:val="center"/>
              <w:textAlignment w:val="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质量标准</w:t>
            </w:r>
          </w:p>
        </w:tc>
        <w:tc>
          <w:tcPr>
            <w:tcW w:w="7255" w:type="dxa"/>
            <w:tcBorders>
              <w:top w:val="single" w:color="auto" w:sz="8" w:space="0"/>
              <w:left w:val="single" w:color="auto" w:sz="4" w:space="0"/>
              <w:bottom w:val="single" w:color="auto" w:sz="8" w:space="0"/>
              <w:right w:val="single" w:color="auto" w:sz="8" w:space="0"/>
            </w:tcBorders>
            <w:vAlign w:val="center"/>
          </w:tcPr>
          <w:p>
            <w:pPr>
              <w:keepNext w:val="0"/>
              <w:keepLines w:val="0"/>
              <w:pageBreakBefore w:val="0"/>
              <w:kinsoku/>
              <w:wordWrap/>
              <w:overflowPunct/>
              <w:autoSpaceDE/>
              <w:autoSpaceDN/>
              <w:bidi w:val="0"/>
              <w:adjustRightInd/>
              <w:snapToGrid/>
              <w:spacing w:line="400" w:lineRule="exact"/>
              <w:jc w:val="left"/>
              <w:textAlignment w:val="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符合现行国家或行业工程计价有关规定、标准、规范的要求。</w:t>
            </w:r>
          </w:p>
        </w:tc>
      </w:tr>
      <w:tr>
        <w:tblPrEx>
          <w:tblCellMar>
            <w:top w:w="0" w:type="dxa"/>
            <w:left w:w="0" w:type="dxa"/>
            <w:bottom w:w="0" w:type="dxa"/>
            <w:right w:w="0" w:type="dxa"/>
          </w:tblCellMar>
        </w:tblPrEx>
        <w:trPr>
          <w:trHeight w:val="991" w:hRule="atLeast"/>
          <w:jc w:val="center"/>
        </w:trPr>
        <w:tc>
          <w:tcPr>
            <w:tcW w:w="831" w:type="dxa"/>
            <w:tcBorders>
              <w:top w:val="single" w:color="auto" w:sz="8" w:space="0"/>
              <w:left w:val="single" w:color="auto" w:sz="8" w:space="0"/>
              <w:bottom w:val="single" w:color="auto" w:sz="8" w:space="0"/>
              <w:right w:val="single" w:color="auto" w:sz="8" w:space="0"/>
            </w:tcBorders>
            <w:vAlign w:val="center"/>
          </w:tcPr>
          <w:p>
            <w:pPr>
              <w:keepNext w:val="0"/>
              <w:keepLines w:val="0"/>
              <w:pageBreakBefore w:val="0"/>
              <w:kinsoku/>
              <w:wordWrap/>
              <w:overflowPunct/>
              <w:autoSpaceDE/>
              <w:autoSpaceDN/>
              <w:bidi w:val="0"/>
              <w:adjustRightInd/>
              <w:snapToGrid/>
              <w:spacing w:line="400" w:lineRule="exact"/>
              <w:jc w:val="center"/>
              <w:textAlignment w:val="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5</w:t>
            </w:r>
          </w:p>
        </w:tc>
        <w:tc>
          <w:tcPr>
            <w:tcW w:w="1881" w:type="dxa"/>
            <w:tcBorders>
              <w:top w:val="single" w:color="auto" w:sz="8" w:space="0"/>
              <w:left w:val="single" w:color="auto" w:sz="4" w:space="0"/>
              <w:bottom w:val="single" w:color="auto" w:sz="8" w:space="0"/>
              <w:right w:val="single" w:color="auto" w:sz="4" w:space="0"/>
            </w:tcBorders>
            <w:vAlign w:val="center"/>
          </w:tcPr>
          <w:p>
            <w:pPr>
              <w:keepNext w:val="0"/>
              <w:keepLines w:val="0"/>
              <w:pageBreakBefore w:val="0"/>
              <w:kinsoku/>
              <w:wordWrap/>
              <w:overflowPunct/>
              <w:autoSpaceDE/>
              <w:autoSpaceDN/>
              <w:bidi w:val="0"/>
              <w:adjustRightInd/>
              <w:snapToGrid/>
              <w:spacing w:line="400" w:lineRule="exact"/>
              <w:ind w:left="1470" w:hanging="1680" w:hangingChars="700"/>
              <w:jc w:val="center"/>
              <w:textAlignment w:val="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投标人资质</w:t>
            </w:r>
          </w:p>
          <w:p>
            <w:pPr>
              <w:keepNext w:val="0"/>
              <w:keepLines w:val="0"/>
              <w:pageBreakBefore w:val="0"/>
              <w:kinsoku/>
              <w:wordWrap/>
              <w:overflowPunct/>
              <w:autoSpaceDE/>
              <w:autoSpaceDN/>
              <w:bidi w:val="0"/>
              <w:adjustRightInd/>
              <w:snapToGrid/>
              <w:spacing w:line="400" w:lineRule="exact"/>
              <w:ind w:left="1470" w:hanging="1680" w:hangingChars="700"/>
              <w:jc w:val="center"/>
              <w:textAlignment w:val="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等级要求</w:t>
            </w:r>
          </w:p>
        </w:tc>
        <w:tc>
          <w:tcPr>
            <w:tcW w:w="7255" w:type="dxa"/>
            <w:tcBorders>
              <w:top w:val="single" w:color="auto" w:sz="8" w:space="0"/>
              <w:left w:val="single" w:color="auto" w:sz="4" w:space="0"/>
              <w:bottom w:val="single" w:color="auto" w:sz="8" w:space="0"/>
              <w:right w:val="single" w:color="auto" w:sz="8" w:space="0"/>
            </w:tcBorders>
            <w:vAlign w:val="center"/>
          </w:tcPr>
          <w:p>
            <w:pPr>
              <w:keepNext w:val="0"/>
              <w:keepLines w:val="0"/>
              <w:pageBreakBefore w:val="0"/>
              <w:kinsoku/>
              <w:wordWrap/>
              <w:overflowPunct/>
              <w:autoSpaceDE/>
              <w:autoSpaceDN/>
              <w:bidi w:val="0"/>
              <w:adjustRightInd/>
              <w:snapToGrid/>
              <w:spacing w:line="400" w:lineRule="exact"/>
              <w:jc w:val="left"/>
              <w:textAlignment w:val="auto"/>
              <w:rPr>
                <w:rFonts w:hint="eastAsia" w:ascii="宋体" w:hAnsi="宋体" w:eastAsia="宋体" w:cs="宋体"/>
                <w:color w:val="auto"/>
                <w:kern w:val="0"/>
                <w:sz w:val="24"/>
                <w:szCs w:val="24"/>
                <w:lang w:val="en-US" w:eastAsia="zh-CN"/>
              </w:rPr>
            </w:pPr>
            <w:r>
              <w:rPr>
                <w:rFonts w:hint="eastAsia" w:ascii="宋体" w:hAnsi="宋体" w:eastAsia="宋体" w:cs="宋体"/>
                <w:color w:val="auto"/>
                <w:kern w:val="0"/>
                <w:sz w:val="24"/>
                <w:szCs w:val="24"/>
                <w:lang w:val="en-US" w:eastAsia="zh-CN"/>
              </w:rPr>
              <w:t>详见招标公告</w:t>
            </w:r>
          </w:p>
        </w:tc>
      </w:tr>
      <w:tr>
        <w:tblPrEx>
          <w:tblCellMar>
            <w:top w:w="0" w:type="dxa"/>
            <w:left w:w="0" w:type="dxa"/>
            <w:bottom w:w="0" w:type="dxa"/>
            <w:right w:w="0" w:type="dxa"/>
          </w:tblCellMar>
        </w:tblPrEx>
        <w:trPr>
          <w:trHeight w:val="656" w:hRule="atLeast"/>
          <w:jc w:val="center"/>
        </w:trPr>
        <w:tc>
          <w:tcPr>
            <w:tcW w:w="831" w:type="dxa"/>
            <w:tcBorders>
              <w:top w:val="single" w:color="auto" w:sz="8" w:space="0"/>
              <w:left w:val="single" w:color="auto" w:sz="8" w:space="0"/>
              <w:bottom w:val="single" w:color="auto" w:sz="8" w:space="0"/>
              <w:right w:val="single" w:color="auto" w:sz="8" w:space="0"/>
            </w:tcBorders>
            <w:vAlign w:val="center"/>
          </w:tcPr>
          <w:p>
            <w:pPr>
              <w:keepNext w:val="0"/>
              <w:keepLines w:val="0"/>
              <w:pageBreakBefore w:val="0"/>
              <w:kinsoku/>
              <w:wordWrap/>
              <w:overflowPunct/>
              <w:autoSpaceDE/>
              <w:autoSpaceDN/>
              <w:bidi w:val="0"/>
              <w:adjustRightInd/>
              <w:snapToGrid/>
              <w:spacing w:line="400" w:lineRule="exact"/>
              <w:jc w:val="center"/>
              <w:textAlignment w:val="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6</w:t>
            </w:r>
          </w:p>
        </w:tc>
        <w:tc>
          <w:tcPr>
            <w:tcW w:w="1881" w:type="dxa"/>
            <w:tcBorders>
              <w:top w:val="single" w:color="auto" w:sz="8" w:space="0"/>
              <w:left w:val="single" w:color="auto" w:sz="4" w:space="0"/>
              <w:bottom w:val="single" w:color="auto" w:sz="8" w:space="0"/>
              <w:right w:val="single" w:color="auto" w:sz="4" w:space="0"/>
            </w:tcBorders>
            <w:vAlign w:val="center"/>
          </w:tcPr>
          <w:p>
            <w:pPr>
              <w:keepNext w:val="0"/>
              <w:keepLines w:val="0"/>
              <w:pageBreakBefore w:val="0"/>
              <w:widowControl/>
              <w:kinsoku/>
              <w:wordWrap/>
              <w:overflowPunct/>
              <w:autoSpaceDE/>
              <w:autoSpaceDN/>
              <w:bidi w:val="0"/>
              <w:adjustRightInd/>
              <w:snapToGrid/>
              <w:spacing w:line="400" w:lineRule="exact"/>
              <w:jc w:val="center"/>
              <w:textAlignment w:val="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勘察现场及投标预备会</w:t>
            </w:r>
          </w:p>
        </w:tc>
        <w:tc>
          <w:tcPr>
            <w:tcW w:w="7255" w:type="dxa"/>
            <w:tcBorders>
              <w:top w:val="single" w:color="auto" w:sz="8" w:space="0"/>
              <w:left w:val="single" w:color="auto" w:sz="4" w:space="0"/>
              <w:bottom w:val="single" w:color="auto" w:sz="8" w:space="0"/>
              <w:right w:val="single" w:color="auto" w:sz="8" w:space="0"/>
            </w:tcBorders>
            <w:vAlign w:val="center"/>
          </w:tcPr>
          <w:p>
            <w:pPr>
              <w:keepNext w:val="0"/>
              <w:keepLines w:val="0"/>
              <w:pageBreakBefore w:val="0"/>
              <w:widowControl/>
              <w:kinsoku/>
              <w:wordWrap/>
              <w:overflowPunct/>
              <w:autoSpaceDE/>
              <w:autoSpaceDN/>
              <w:bidi w:val="0"/>
              <w:adjustRightInd/>
              <w:snapToGrid/>
              <w:spacing w:line="400" w:lineRule="exact"/>
              <w:jc w:val="left"/>
              <w:textAlignment w:val="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不再集中召开招标答疑会；投标人自行组织勘察现场。</w:t>
            </w:r>
          </w:p>
        </w:tc>
      </w:tr>
      <w:tr>
        <w:tblPrEx>
          <w:tblCellMar>
            <w:top w:w="0" w:type="dxa"/>
            <w:left w:w="0" w:type="dxa"/>
            <w:bottom w:w="0" w:type="dxa"/>
            <w:right w:w="0" w:type="dxa"/>
          </w:tblCellMar>
        </w:tblPrEx>
        <w:trPr>
          <w:trHeight w:val="435" w:hRule="atLeast"/>
          <w:jc w:val="center"/>
        </w:trPr>
        <w:tc>
          <w:tcPr>
            <w:tcW w:w="831" w:type="dxa"/>
            <w:tcBorders>
              <w:top w:val="single" w:color="auto" w:sz="8" w:space="0"/>
              <w:left w:val="single" w:color="auto" w:sz="8" w:space="0"/>
              <w:bottom w:val="single" w:color="auto" w:sz="8" w:space="0"/>
              <w:right w:val="single" w:color="auto" w:sz="8" w:space="0"/>
            </w:tcBorders>
            <w:vAlign w:val="center"/>
          </w:tcPr>
          <w:p>
            <w:pPr>
              <w:keepNext w:val="0"/>
              <w:keepLines w:val="0"/>
              <w:pageBreakBefore w:val="0"/>
              <w:kinsoku/>
              <w:wordWrap/>
              <w:overflowPunct/>
              <w:autoSpaceDE/>
              <w:autoSpaceDN/>
              <w:bidi w:val="0"/>
              <w:adjustRightInd/>
              <w:snapToGrid/>
              <w:spacing w:line="400" w:lineRule="exact"/>
              <w:jc w:val="center"/>
              <w:textAlignment w:val="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7</w:t>
            </w:r>
          </w:p>
        </w:tc>
        <w:tc>
          <w:tcPr>
            <w:tcW w:w="1881" w:type="dxa"/>
            <w:tcBorders>
              <w:top w:val="single" w:color="auto" w:sz="8" w:space="0"/>
              <w:left w:val="single" w:color="auto" w:sz="4" w:space="0"/>
              <w:bottom w:val="single" w:color="auto" w:sz="8" w:space="0"/>
              <w:right w:val="single" w:color="auto" w:sz="4" w:space="0"/>
            </w:tcBorders>
            <w:vAlign w:val="center"/>
          </w:tcPr>
          <w:p>
            <w:pPr>
              <w:pStyle w:val="26"/>
              <w:keepNext w:val="0"/>
              <w:keepLines w:val="0"/>
              <w:pageBreakBefore w:val="0"/>
              <w:kinsoku/>
              <w:wordWrap/>
              <w:overflowPunct/>
              <w:autoSpaceDE/>
              <w:autoSpaceDN/>
              <w:bidi w:val="0"/>
              <w:adjustRightInd/>
              <w:snapToGrid/>
              <w:spacing w:line="400" w:lineRule="exact"/>
              <w:ind w:left="1260" w:hanging="1440" w:hangingChars="600"/>
              <w:jc w:val="center"/>
              <w:textAlignment w:val="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投标文件份数</w:t>
            </w:r>
          </w:p>
        </w:tc>
        <w:tc>
          <w:tcPr>
            <w:tcW w:w="7255" w:type="dxa"/>
            <w:tcBorders>
              <w:top w:val="single" w:color="auto" w:sz="8" w:space="0"/>
              <w:left w:val="single" w:color="auto" w:sz="4" w:space="0"/>
              <w:bottom w:val="single" w:color="auto" w:sz="8" w:space="0"/>
              <w:right w:val="single" w:color="auto" w:sz="8" w:space="0"/>
            </w:tcBorders>
            <w:vAlign w:val="center"/>
          </w:tcPr>
          <w:p>
            <w:pPr>
              <w:pStyle w:val="26"/>
              <w:keepNext w:val="0"/>
              <w:keepLines w:val="0"/>
              <w:pageBreakBefore w:val="0"/>
              <w:kinsoku/>
              <w:wordWrap/>
              <w:overflowPunct/>
              <w:autoSpaceDE/>
              <w:autoSpaceDN/>
              <w:bidi w:val="0"/>
              <w:adjustRightInd/>
              <w:snapToGrid/>
              <w:spacing w:line="400" w:lineRule="exact"/>
              <w:jc w:val="left"/>
              <w:textAlignment w:val="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正本</w:t>
            </w:r>
            <w:r>
              <w:rPr>
                <w:rFonts w:hint="eastAsia" w:ascii="宋体" w:hAnsi="宋体" w:eastAsia="宋体" w:cs="宋体"/>
                <w:color w:val="auto"/>
                <w:kern w:val="0"/>
                <w:sz w:val="24"/>
                <w:szCs w:val="24"/>
                <w:u w:val="single"/>
              </w:rPr>
              <w:t xml:space="preserve"> 一 </w:t>
            </w:r>
            <w:r>
              <w:rPr>
                <w:rFonts w:hint="eastAsia" w:ascii="宋体" w:hAnsi="宋体" w:eastAsia="宋体" w:cs="宋体"/>
                <w:color w:val="auto"/>
                <w:kern w:val="0"/>
                <w:sz w:val="24"/>
                <w:szCs w:val="24"/>
              </w:rPr>
              <w:t>份，副本</w:t>
            </w:r>
            <w:r>
              <w:rPr>
                <w:rFonts w:hint="eastAsia" w:ascii="宋体" w:hAnsi="宋体" w:eastAsia="宋体" w:cs="宋体"/>
                <w:color w:val="auto"/>
                <w:kern w:val="0"/>
                <w:sz w:val="24"/>
                <w:szCs w:val="24"/>
                <w:u w:val="single"/>
              </w:rPr>
              <w:t xml:space="preserve"> 两 </w:t>
            </w:r>
            <w:r>
              <w:rPr>
                <w:rFonts w:hint="eastAsia" w:ascii="宋体" w:hAnsi="宋体" w:eastAsia="宋体" w:cs="宋体"/>
                <w:color w:val="auto"/>
                <w:kern w:val="0"/>
                <w:sz w:val="24"/>
                <w:szCs w:val="24"/>
              </w:rPr>
              <w:t>份</w:t>
            </w:r>
          </w:p>
        </w:tc>
      </w:tr>
      <w:tr>
        <w:tblPrEx>
          <w:tblCellMar>
            <w:top w:w="0" w:type="dxa"/>
            <w:left w:w="0" w:type="dxa"/>
            <w:bottom w:w="0" w:type="dxa"/>
            <w:right w:w="0" w:type="dxa"/>
          </w:tblCellMar>
        </w:tblPrEx>
        <w:trPr>
          <w:trHeight w:val="662" w:hRule="atLeast"/>
          <w:jc w:val="center"/>
        </w:trPr>
        <w:tc>
          <w:tcPr>
            <w:tcW w:w="831" w:type="dxa"/>
            <w:tcBorders>
              <w:top w:val="single" w:color="auto" w:sz="8" w:space="0"/>
              <w:left w:val="single" w:color="auto" w:sz="8" w:space="0"/>
              <w:bottom w:val="single" w:color="auto" w:sz="8" w:space="0"/>
              <w:right w:val="single" w:color="auto" w:sz="8" w:space="0"/>
            </w:tcBorders>
            <w:vAlign w:val="center"/>
          </w:tcPr>
          <w:p>
            <w:pPr>
              <w:keepNext w:val="0"/>
              <w:keepLines w:val="0"/>
              <w:pageBreakBefore w:val="0"/>
              <w:kinsoku/>
              <w:wordWrap/>
              <w:overflowPunct/>
              <w:autoSpaceDE/>
              <w:autoSpaceDN/>
              <w:bidi w:val="0"/>
              <w:adjustRightInd/>
              <w:snapToGrid/>
              <w:spacing w:line="400" w:lineRule="exact"/>
              <w:jc w:val="center"/>
              <w:textAlignment w:val="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8</w:t>
            </w:r>
          </w:p>
        </w:tc>
        <w:tc>
          <w:tcPr>
            <w:tcW w:w="1881" w:type="dxa"/>
            <w:tcBorders>
              <w:top w:val="single" w:color="auto" w:sz="8" w:space="0"/>
              <w:left w:val="single" w:color="auto" w:sz="4" w:space="0"/>
              <w:bottom w:val="single" w:color="auto" w:sz="8" w:space="0"/>
              <w:right w:val="single" w:color="auto" w:sz="4" w:space="0"/>
            </w:tcBorders>
            <w:vAlign w:val="center"/>
          </w:tcPr>
          <w:p>
            <w:pPr>
              <w:keepNext w:val="0"/>
              <w:keepLines w:val="0"/>
              <w:pageBreakBefore w:val="0"/>
              <w:kinsoku/>
              <w:wordWrap/>
              <w:overflowPunct/>
              <w:autoSpaceDE/>
              <w:autoSpaceDN/>
              <w:bidi w:val="0"/>
              <w:adjustRightInd/>
              <w:snapToGrid/>
              <w:spacing w:line="400" w:lineRule="exact"/>
              <w:jc w:val="center"/>
              <w:textAlignment w:val="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投标保证金</w:t>
            </w:r>
          </w:p>
        </w:tc>
        <w:tc>
          <w:tcPr>
            <w:tcW w:w="7255" w:type="dxa"/>
            <w:tcBorders>
              <w:top w:val="single" w:color="auto" w:sz="8" w:space="0"/>
              <w:left w:val="single" w:color="auto" w:sz="4" w:space="0"/>
              <w:bottom w:val="single" w:color="auto" w:sz="8" w:space="0"/>
              <w:right w:val="single" w:color="auto" w:sz="8" w:space="0"/>
            </w:tcBorders>
            <w:vAlign w:val="center"/>
          </w:tcPr>
          <w:p>
            <w:pPr>
              <w:keepNext w:val="0"/>
              <w:keepLines w:val="0"/>
              <w:pageBreakBefore w:val="0"/>
              <w:kinsoku/>
              <w:wordWrap/>
              <w:overflowPunct/>
              <w:autoSpaceDE/>
              <w:autoSpaceDN/>
              <w:bidi w:val="0"/>
              <w:adjustRightInd/>
              <w:snapToGrid/>
              <w:spacing w:line="400" w:lineRule="exact"/>
              <w:jc w:val="left"/>
              <w:textAlignment w:val="auto"/>
              <w:rPr>
                <w:rFonts w:hint="eastAsia" w:ascii="宋体" w:hAnsi="宋体" w:eastAsia="宋体" w:cs="宋体"/>
                <w:color w:val="auto"/>
                <w:kern w:val="0"/>
                <w:sz w:val="24"/>
                <w:szCs w:val="24"/>
                <w:u w:val="single"/>
                <w:lang w:eastAsia="zh-CN"/>
              </w:rPr>
            </w:pPr>
            <w:r>
              <w:rPr>
                <w:rFonts w:hint="eastAsia" w:ascii="宋体" w:hAnsi="宋体" w:eastAsia="宋体" w:cs="宋体"/>
                <w:color w:val="auto"/>
                <w:kern w:val="0"/>
                <w:sz w:val="24"/>
                <w:szCs w:val="24"/>
                <w:lang w:val="en-US" w:eastAsia="zh-CN"/>
              </w:rPr>
              <w:t>不要求</w:t>
            </w:r>
          </w:p>
        </w:tc>
      </w:tr>
      <w:tr>
        <w:tblPrEx>
          <w:tblCellMar>
            <w:top w:w="0" w:type="dxa"/>
            <w:left w:w="0" w:type="dxa"/>
            <w:bottom w:w="0" w:type="dxa"/>
            <w:right w:w="0" w:type="dxa"/>
          </w:tblCellMar>
        </w:tblPrEx>
        <w:trPr>
          <w:trHeight w:val="637" w:hRule="atLeast"/>
          <w:jc w:val="center"/>
        </w:trPr>
        <w:tc>
          <w:tcPr>
            <w:tcW w:w="831" w:type="dxa"/>
            <w:tcBorders>
              <w:top w:val="single" w:color="auto" w:sz="8" w:space="0"/>
              <w:left w:val="single" w:color="auto" w:sz="8" w:space="0"/>
              <w:bottom w:val="single" w:color="auto" w:sz="8" w:space="0"/>
              <w:right w:val="single" w:color="auto" w:sz="8" w:space="0"/>
            </w:tcBorders>
            <w:vAlign w:val="center"/>
          </w:tcPr>
          <w:p>
            <w:pPr>
              <w:keepNext w:val="0"/>
              <w:keepLines w:val="0"/>
              <w:pageBreakBefore w:val="0"/>
              <w:kinsoku/>
              <w:wordWrap/>
              <w:overflowPunct/>
              <w:autoSpaceDE/>
              <w:autoSpaceDN/>
              <w:bidi w:val="0"/>
              <w:adjustRightInd/>
              <w:snapToGrid/>
              <w:spacing w:line="400" w:lineRule="exact"/>
              <w:jc w:val="center"/>
              <w:textAlignment w:val="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9</w:t>
            </w:r>
          </w:p>
        </w:tc>
        <w:tc>
          <w:tcPr>
            <w:tcW w:w="1881" w:type="dxa"/>
            <w:tcBorders>
              <w:top w:val="single" w:color="auto" w:sz="8" w:space="0"/>
              <w:left w:val="single" w:color="auto" w:sz="4" w:space="0"/>
              <w:bottom w:val="single" w:color="auto" w:sz="8" w:space="0"/>
              <w:right w:val="single" w:color="auto" w:sz="4" w:space="0"/>
            </w:tcBorders>
            <w:vAlign w:val="center"/>
          </w:tcPr>
          <w:p>
            <w:pPr>
              <w:keepNext w:val="0"/>
              <w:keepLines w:val="0"/>
              <w:pageBreakBefore w:val="0"/>
              <w:kinsoku/>
              <w:wordWrap/>
              <w:overflowPunct/>
              <w:autoSpaceDE/>
              <w:autoSpaceDN/>
              <w:bidi w:val="0"/>
              <w:adjustRightInd/>
              <w:snapToGrid/>
              <w:spacing w:line="400" w:lineRule="exact"/>
              <w:jc w:val="center"/>
              <w:textAlignment w:val="auto"/>
              <w:rPr>
                <w:rFonts w:hint="eastAsia" w:ascii="宋体" w:hAnsi="宋体" w:eastAsia="宋体" w:cs="宋体"/>
                <w:color w:val="auto"/>
                <w:kern w:val="0"/>
                <w:sz w:val="24"/>
                <w:szCs w:val="24"/>
                <w:highlight w:val="magenta"/>
              </w:rPr>
            </w:pPr>
            <w:r>
              <w:rPr>
                <w:rFonts w:hint="eastAsia" w:ascii="宋体" w:hAnsi="宋体" w:eastAsia="宋体" w:cs="宋体"/>
                <w:color w:val="auto"/>
                <w:kern w:val="0"/>
                <w:sz w:val="24"/>
                <w:szCs w:val="24"/>
              </w:rPr>
              <w:t>履约保证金</w:t>
            </w:r>
          </w:p>
        </w:tc>
        <w:tc>
          <w:tcPr>
            <w:tcW w:w="7255" w:type="dxa"/>
            <w:tcBorders>
              <w:top w:val="single" w:color="auto" w:sz="8" w:space="0"/>
              <w:left w:val="single" w:color="auto" w:sz="4" w:space="0"/>
              <w:bottom w:val="single" w:color="auto" w:sz="8" w:space="0"/>
              <w:right w:val="single" w:color="auto" w:sz="8" w:space="0"/>
            </w:tcBorders>
            <w:vAlign w:val="center"/>
          </w:tcPr>
          <w:p>
            <w:pPr>
              <w:keepNext w:val="0"/>
              <w:keepLines w:val="0"/>
              <w:pageBreakBefore w:val="0"/>
              <w:widowControl/>
              <w:kinsoku/>
              <w:wordWrap/>
              <w:overflowPunct/>
              <w:autoSpaceDE/>
              <w:autoSpaceDN/>
              <w:bidi w:val="0"/>
              <w:adjustRightInd/>
              <w:snapToGrid/>
              <w:spacing w:line="400" w:lineRule="exact"/>
              <w:jc w:val="left"/>
              <w:textAlignment w:val="auto"/>
              <w:rPr>
                <w:rFonts w:hint="eastAsia" w:ascii="宋体" w:hAnsi="宋体" w:eastAsia="宋体" w:cs="宋体"/>
                <w:color w:val="auto"/>
                <w:kern w:val="0"/>
                <w:sz w:val="24"/>
                <w:szCs w:val="24"/>
              </w:rPr>
            </w:pPr>
            <w:r>
              <w:rPr>
                <w:rFonts w:hint="eastAsia" w:ascii="宋体" w:hAnsi="宋体" w:eastAsia="宋体" w:cs="宋体"/>
                <w:color w:val="auto"/>
                <w:sz w:val="24"/>
                <w:szCs w:val="24"/>
              </w:rPr>
              <w:t>本项目不设置履约保证金。</w:t>
            </w:r>
          </w:p>
        </w:tc>
      </w:tr>
      <w:tr>
        <w:tblPrEx>
          <w:tblCellMar>
            <w:top w:w="0" w:type="dxa"/>
            <w:left w:w="0" w:type="dxa"/>
            <w:bottom w:w="0" w:type="dxa"/>
            <w:right w:w="0" w:type="dxa"/>
          </w:tblCellMar>
        </w:tblPrEx>
        <w:trPr>
          <w:trHeight w:val="462" w:hRule="atLeast"/>
          <w:jc w:val="center"/>
        </w:trPr>
        <w:tc>
          <w:tcPr>
            <w:tcW w:w="831" w:type="dxa"/>
            <w:tcBorders>
              <w:top w:val="single" w:color="auto" w:sz="8" w:space="0"/>
              <w:left w:val="single" w:color="auto" w:sz="8" w:space="0"/>
              <w:bottom w:val="single" w:color="auto" w:sz="8" w:space="0"/>
              <w:right w:val="single" w:color="auto" w:sz="8" w:space="0"/>
            </w:tcBorders>
            <w:vAlign w:val="center"/>
          </w:tcPr>
          <w:p>
            <w:pPr>
              <w:keepNext w:val="0"/>
              <w:keepLines w:val="0"/>
              <w:pageBreakBefore w:val="0"/>
              <w:kinsoku/>
              <w:wordWrap/>
              <w:overflowPunct/>
              <w:autoSpaceDE/>
              <w:autoSpaceDN/>
              <w:bidi w:val="0"/>
              <w:adjustRightInd/>
              <w:snapToGrid/>
              <w:spacing w:line="400" w:lineRule="exact"/>
              <w:jc w:val="center"/>
              <w:textAlignment w:val="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10</w:t>
            </w:r>
          </w:p>
        </w:tc>
        <w:tc>
          <w:tcPr>
            <w:tcW w:w="1881" w:type="dxa"/>
            <w:tcBorders>
              <w:top w:val="single" w:color="auto" w:sz="8" w:space="0"/>
              <w:left w:val="single" w:color="auto" w:sz="4" w:space="0"/>
              <w:bottom w:val="single" w:color="auto" w:sz="8" w:space="0"/>
              <w:right w:val="single" w:color="auto" w:sz="4" w:space="0"/>
            </w:tcBorders>
            <w:vAlign w:val="center"/>
          </w:tcPr>
          <w:p>
            <w:pPr>
              <w:keepNext w:val="0"/>
              <w:keepLines w:val="0"/>
              <w:pageBreakBefore w:val="0"/>
              <w:widowControl/>
              <w:kinsoku/>
              <w:wordWrap/>
              <w:overflowPunct/>
              <w:autoSpaceDE/>
              <w:autoSpaceDN/>
              <w:bidi w:val="0"/>
              <w:adjustRightInd/>
              <w:snapToGrid/>
              <w:spacing w:line="400" w:lineRule="exact"/>
              <w:jc w:val="center"/>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最高投标限价</w:t>
            </w:r>
          </w:p>
        </w:tc>
        <w:tc>
          <w:tcPr>
            <w:tcW w:w="7255" w:type="dxa"/>
            <w:tcBorders>
              <w:top w:val="single" w:color="auto" w:sz="8" w:space="0"/>
              <w:left w:val="single" w:color="auto" w:sz="4" w:space="0"/>
              <w:bottom w:val="single" w:color="auto" w:sz="8" w:space="0"/>
              <w:right w:val="single" w:color="auto" w:sz="8" w:space="0"/>
            </w:tcBorders>
            <w:vAlign w:val="center"/>
          </w:tcPr>
          <w:p>
            <w:pPr>
              <w:keepNext w:val="0"/>
              <w:keepLines w:val="0"/>
              <w:pageBreakBefore w:val="0"/>
              <w:kinsoku/>
              <w:wordWrap/>
              <w:overflowPunct/>
              <w:autoSpaceDE/>
              <w:autoSpaceDN/>
              <w:bidi w:val="0"/>
              <w:adjustRightInd/>
              <w:snapToGrid/>
              <w:spacing w:line="400" w:lineRule="exact"/>
              <w:textAlignment w:val="auto"/>
              <w:rPr>
                <w:rFonts w:hint="eastAsia" w:ascii="宋体" w:hAnsi="宋体" w:eastAsia="宋体" w:cs="宋体"/>
                <w:color w:val="auto"/>
                <w:sz w:val="24"/>
                <w:szCs w:val="24"/>
              </w:rPr>
            </w:pPr>
            <w:r>
              <w:rPr>
                <w:rFonts w:hint="eastAsia" w:ascii="宋体" w:hAnsi="宋体" w:eastAsia="宋体" w:cs="宋体"/>
                <w:color w:val="auto"/>
                <w:sz w:val="24"/>
                <w:szCs w:val="24"/>
                <w:highlight w:val="none"/>
                <w:lang w:val="en-US" w:eastAsia="zh-CN"/>
              </w:rPr>
              <w:t>基本费率最高限价：2‰（注：报价时只需报基本费率，保留两位小数，报价不得为负数）；审核成果费率1.50%（审核成果费率固定不变，工程造价审减率在10%以内的由招标单位承担，工程造价审减率超过10%的，其超过部分审计服务费用由施工单位承担；无审减额的，按基本费用收取）</w:t>
            </w:r>
          </w:p>
        </w:tc>
      </w:tr>
      <w:tr>
        <w:tblPrEx>
          <w:tblCellMar>
            <w:top w:w="0" w:type="dxa"/>
            <w:left w:w="0" w:type="dxa"/>
            <w:bottom w:w="0" w:type="dxa"/>
            <w:right w:w="0" w:type="dxa"/>
          </w:tblCellMar>
        </w:tblPrEx>
        <w:trPr>
          <w:trHeight w:val="559" w:hRule="atLeast"/>
          <w:jc w:val="center"/>
        </w:trPr>
        <w:tc>
          <w:tcPr>
            <w:tcW w:w="831" w:type="dxa"/>
            <w:tcBorders>
              <w:top w:val="single" w:color="auto" w:sz="8" w:space="0"/>
              <w:left w:val="single" w:color="auto" w:sz="8" w:space="0"/>
              <w:bottom w:val="single" w:color="auto" w:sz="8" w:space="0"/>
              <w:right w:val="single" w:color="auto" w:sz="8" w:space="0"/>
            </w:tcBorders>
            <w:vAlign w:val="center"/>
          </w:tcPr>
          <w:p>
            <w:pPr>
              <w:keepNext w:val="0"/>
              <w:keepLines w:val="0"/>
              <w:pageBreakBefore w:val="0"/>
              <w:kinsoku/>
              <w:wordWrap/>
              <w:overflowPunct/>
              <w:autoSpaceDE/>
              <w:autoSpaceDN/>
              <w:bidi w:val="0"/>
              <w:adjustRightInd/>
              <w:snapToGrid/>
              <w:spacing w:line="400" w:lineRule="exact"/>
              <w:jc w:val="center"/>
              <w:textAlignment w:val="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11</w:t>
            </w:r>
          </w:p>
        </w:tc>
        <w:tc>
          <w:tcPr>
            <w:tcW w:w="1881" w:type="dxa"/>
            <w:tcBorders>
              <w:top w:val="single" w:color="auto" w:sz="8" w:space="0"/>
              <w:left w:val="single" w:color="auto" w:sz="4" w:space="0"/>
              <w:bottom w:val="single" w:color="auto" w:sz="8" w:space="0"/>
              <w:right w:val="single" w:color="auto" w:sz="4" w:space="0"/>
            </w:tcBorders>
            <w:vAlign w:val="center"/>
          </w:tcPr>
          <w:p>
            <w:pPr>
              <w:keepNext w:val="0"/>
              <w:keepLines w:val="0"/>
              <w:pageBreakBefore w:val="0"/>
              <w:kinsoku/>
              <w:wordWrap/>
              <w:overflowPunct/>
              <w:autoSpaceDE/>
              <w:autoSpaceDN/>
              <w:bidi w:val="0"/>
              <w:adjustRightInd/>
              <w:snapToGrid/>
              <w:spacing w:line="400" w:lineRule="exact"/>
              <w:jc w:val="center"/>
              <w:textAlignment w:val="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投标文件提交截止时间及地点</w:t>
            </w:r>
          </w:p>
        </w:tc>
        <w:tc>
          <w:tcPr>
            <w:tcW w:w="7255" w:type="dxa"/>
            <w:tcBorders>
              <w:top w:val="single" w:color="auto" w:sz="8" w:space="0"/>
              <w:left w:val="single" w:color="auto" w:sz="4" w:space="0"/>
              <w:bottom w:val="single" w:color="auto" w:sz="8" w:space="0"/>
              <w:right w:val="single" w:color="auto" w:sz="8" w:space="0"/>
            </w:tcBorders>
            <w:vAlign w:val="center"/>
          </w:tcPr>
          <w:p>
            <w:pPr>
              <w:keepNext w:val="0"/>
              <w:keepLines w:val="0"/>
              <w:pageBreakBefore w:val="0"/>
              <w:kinsoku/>
              <w:wordWrap/>
              <w:overflowPunct/>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收件人：滁州市城投工程咨询管理有限公司</w:t>
            </w:r>
          </w:p>
          <w:p>
            <w:pPr>
              <w:keepNext w:val="0"/>
              <w:keepLines w:val="0"/>
              <w:pageBreakBefore w:val="0"/>
              <w:kinsoku/>
              <w:wordWrap/>
              <w:overflowPunct/>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时间：</w:t>
            </w:r>
            <w:r>
              <w:rPr>
                <w:rFonts w:hint="eastAsia" w:ascii="宋体" w:hAnsi="宋体" w:eastAsia="宋体" w:cs="宋体"/>
                <w:b/>
                <w:bCs/>
                <w:color w:val="auto"/>
                <w:sz w:val="24"/>
                <w:szCs w:val="24"/>
                <w:highlight w:val="none"/>
              </w:rPr>
              <w:t>202</w:t>
            </w:r>
            <w:r>
              <w:rPr>
                <w:rFonts w:hint="eastAsia" w:ascii="宋体" w:hAnsi="宋体" w:eastAsia="宋体" w:cs="宋体"/>
                <w:b/>
                <w:bCs/>
                <w:color w:val="auto"/>
                <w:sz w:val="24"/>
                <w:szCs w:val="24"/>
                <w:highlight w:val="none"/>
                <w:lang w:val="en-US" w:eastAsia="zh-CN"/>
              </w:rPr>
              <w:t>3</w:t>
            </w:r>
            <w:r>
              <w:rPr>
                <w:rFonts w:hint="eastAsia" w:ascii="宋体" w:hAnsi="宋体" w:eastAsia="宋体" w:cs="宋体"/>
                <w:b/>
                <w:bCs/>
                <w:color w:val="auto"/>
                <w:sz w:val="24"/>
                <w:szCs w:val="24"/>
                <w:highlight w:val="none"/>
              </w:rPr>
              <w:t>年</w:t>
            </w:r>
            <w:r>
              <w:rPr>
                <w:rFonts w:hint="eastAsia" w:ascii="宋体" w:hAnsi="宋体" w:eastAsia="宋体" w:cs="宋体"/>
                <w:b/>
                <w:bCs/>
                <w:color w:val="auto"/>
                <w:sz w:val="24"/>
                <w:szCs w:val="24"/>
                <w:highlight w:val="none"/>
                <w:lang w:val="en-US" w:eastAsia="zh-CN"/>
              </w:rPr>
              <w:t>3</w:t>
            </w:r>
            <w:r>
              <w:rPr>
                <w:rFonts w:hint="eastAsia" w:ascii="宋体" w:hAnsi="宋体" w:eastAsia="宋体" w:cs="宋体"/>
                <w:b/>
                <w:bCs/>
                <w:color w:val="auto"/>
                <w:sz w:val="24"/>
                <w:szCs w:val="24"/>
                <w:highlight w:val="none"/>
              </w:rPr>
              <w:t>月</w:t>
            </w:r>
            <w:r>
              <w:rPr>
                <w:rFonts w:hint="eastAsia" w:ascii="宋体" w:hAnsi="宋体" w:cs="宋体"/>
                <w:b/>
                <w:bCs/>
                <w:color w:val="auto"/>
                <w:sz w:val="24"/>
                <w:szCs w:val="24"/>
                <w:highlight w:val="none"/>
                <w:lang w:val="en-US" w:eastAsia="zh-CN"/>
              </w:rPr>
              <w:t>31</w:t>
            </w:r>
            <w:r>
              <w:rPr>
                <w:rFonts w:hint="eastAsia" w:ascii="宋体" w:hAnsi="宋体" w:eastAsia="宋体" w:cs="宋体"/>
                <w:b/>
                <w:bCs/>
                <w:color w:val="auto"/>
                <w:sz w:val="24"/>
                <w:szCs w:val="24"/>
                <w:highlight w:val="none"/>
              </w:rPr>
              <w:t>日</w:t>
            </w:r>
            <w:r>
              <w:rPr>
                <w:rFonts w:hint="eastAsia" w:ascii="宋体" w:hAnsi="宋体" w:eastAsia="宋体" w:cs="宋体"/>
                <w:b/>
                <w:bCs/>
                <w:color w:val="auto"/>
                <w:sz w:val="24"/>
                <w:szCs w:val="24"/>
                <w:highlight w:val="none"/>
                <w:lang w:val="en-US" w:eastAsia="zh-CN"/>
              </w:rPr>
              <w:t>9</w:t>
            </w:r>
            <w:r>
              <w:rPr>
                <w:rFonts w:hint="eastAsia" w:ascii="宋体" w:hAnsi="宋体" w:eastAsia="宋体" w:cs="宋体"/>
                <w:b/>
                <w:bCs/>
                <w:color w:val="auto"/>
                <w:sz w:val="24"/>
                <w:szCs w:val="24"/>
                <w:highlight w:val="none"/>
              </w:rPr>
              <w:t>时00分</w:t>
            </w:r>
            <w:r>
              <w:rPr>
                <w:rFonts w:hint="eastAsia" w:ascii="宋体" w:hAnsi="宋体" w:eastAsia="宋体" w:cs="宋体"/>
                <w:color w:val="auto"/>
                <w:sz w:val="24"/>
                <w:szCs w:val="24"/>
                <w:highlight w:val="none"/>
              </w:rPr>
              <w:t xml:space="preserve">  </w:t>
            </w:r>
          </w:p>
          <w:p>
            <w:pPr>
              <w:keepNext w:val="0"/>
              <w:keepLines w:val="0"/>
              <w:pageBreakBefore w:val="0"/>
              <w:kinsoku/>
              <w:wordWrap/>
              <w:overflowPunct/>
              <w:autoSpaceDE/>
              <w:autoSpaceDN/>
              <w:bidi w:val="0"/>
              <w:adjustRightInd/>
              <w:snapToGrid/>
              <w:spacing w:line="400" w:lineRule="exact"/>
              <w:jc w:val="left"/>
              <w:textAlignment w:val="auto"/>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rPr>
              <w:t>地点：滁州市</w:t>
            </w:r>
            <w:r>
              <w:rPr>
                <w:rFonts w:hint="eastAsia" w:ascii="宋体" w:hAnsi="宋体" w:eastAsia="宋体" w:cs="宋体"/>
                <w:color w:val="auto"/>
                <w:sz w:val="24"/>
                <w:szCs w:val="24"/>
                <w:highlight w:val="none"/>
                <w:lang w:val="en-US" w:eastAsia="zh-CN"/>
              </w:rPr>
              <w:t>凤凰东路476号投资大厦12楼</w:t>
            </w:r>
            <w:r>
              <w:rPr>
                <w:rFonts w:hint="eastAsia" w:ascii="宋体" w:hAnsi="宋体" w:eastAsia="宋体" w:cs="宋体"/>
                <w:color w:val="auto"/>
                <w:sz w:val="24"/>
                <w:szCs w:val="24"/>
                <w:highlight w:val="none"/>
              </w:rPr>
              <w:t>会议室</w:t>
            </w:r>
          </w:p>
        </w:tc>
      </w:tr>
      <w:tr>
        <w:tblPrEx>
          <w:tblCellMar>
            <w:top w:w="0" w:type="dxa"/>
            <w:left w:w="0" w:type="dxa"/>
            <w:bottom w:w="0" w:type="dxa"/>
            <w:right w:w="0" w:type="dxa"/>
          </w:tblCellMar>
        </w:tblPrEx>
        <w:trPr>
          <w:trHeight w:val="786" w:hRule="atLeast"/>
          <w:jc w:val="center"/>
        </w:trPr>
        <w:tc>
          <w:tcPr>
            <w:tcW w:w="831" w:type="dxa"/>
            <w:tcBorders>
              <w:top w:val="single" w:color="auto" w:sz="8" w:space="0"/>
              <w:left w:val="single" w:color="auto" w:sz="8" w:space="0"/>
              <w:bottom w:val="single" w:color="auto" w:sz="8" w:space="0"/>
              <w:right w:val="single" w:color="auto" w:sz="8" w:space="0"/>
            </w:tcBorders>
            <w:vAlign w:val="center"/>
          </w:tcPr>
          <w:p>
            <w:pPr>
              <w:keepNext w:val="0"/>
              <w:keepLines w:val="0"/>
              <w:pageBreakBefore w:val="0"/>
              <w:kinsoku/>
              <w:wordWrap/>
              <w:overflowPunct/>
              <w:autoSpaceDE/>
              <w:autoSpaceDN/>
              <w:bidi w:val="0"/>
              <w:adjustRightInd/>
              <w:snapToGrid/>
              <w:spacing w:line="400" w:lineRule="exact"/>
              <w:jc w:val="center"/>
              <w:textAlignment w:val="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12</w:t>
            </w:r>
          </w:p>
        </w:tc>
        <w:tc>
          <w:tcPr>
            <w:tcW w:w="1881" w:type="dxa"/>
            <w:tcBorders>
              <w:top w:val="single" w:color="auto" w:sz="8" w:space="0"/>
              <w:left w:val="single" w:color="auto" w:sz="4" w:space="0"/>
              <w:bottom w:val="single" w:color="auto" w:sz="8" w:space="0"/>
              <w:right w:val="single" w:color="auto" w:sz="4" w:space="0"/>
            </w:tcBorders>
            <w:vAlign w:val="center"/>
          </w:tcPr>
          <w:p>
            <w:pPr>
              <w:keepNext w:val="0"/>
              <w:keepLines w:val="0"/>
              <w:pageBreakBefore w:val="0"/>
              <w:kinsoku/>
              <w:wordWrap/>
              <w:overflowPunct/>
              <w:autoSpaceDE/>
              <w:autoSpaceDN/>
              <w:bidi w:val="0"/>
              <w:adjustRightInd/>
              <w:snapToGrid/>
              <w:spacing w:line="400" w:lineRule="exact"/>
              <w:jc w:val="center"/>
              <w:textAlignment w:val="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开标</w:t>
            </w:r>
          </w:p>
        </w:tc>
        <w:tc>
          <w:tcPr>
            <w:tcW w:w="7255" w:type="dxa"/>
            <w:tcBorders>
              <w:top w:val="single" w:color="auto" w:sz="8" w:space="0"/>
              <w:left w:val="single" w:color="auto" w:sz="4" w:space="0"/>
              <w:bottom w:val="single" w:color="auto" w:sz="8" w:space="0"/>
              <w:right w:val="single" w:color="auto" w:sz="8" w:space="0"/>
            </w:tcBorders>
            <w:vAlign w:val="center"/>
          </w:tcPr>
          <w:p>
            <w:pPr>
              <w:keepNext w:val="0"/>
              <w:keepLines w:val="0"/>
              <w:pageBreakBefore w:val="0"/>
              <w:kinsoku/>
              <w:wordWrap/>
              <w:overflowPunct/>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kern w:val="0"/>
                <w:sz w:val="24"/>
                <w:szCs w:val="24"/>
                <w:highlight w:val="none"/>
              </w:rPr>
              <w:t>开标时间：</w:t>
            </w:r>
            <w:r>
              <w:rPr>
                <w:rFonts w:hint="eastAsia" w:ascii="宋体" w:hAnsi="宋体" w:eastAsia="宋体" w:cs="宋体"/>
                <w:b/>
                <w:bCs/>
                <w:color w:val="auto"/>
                <w:sz w:val="24"/>
                <w:szCs w:val="24"/>
                <w:highlight w:val="none"/>
              </w:rPr>
              <w:t>202</w:t>
            </w:r>
            <w:r>
              <w:rPr>
                <w:rFonts w:hint="eastAsia" w:ascii="宋体" w:hAnsi="宋体" w:eastAsia="宋体" w:cs="宋体"/>
                <w:b/>
                <w:bCs/>
                <w:color w:val="auto"/>
                <w:sz w:val="24"/>
                <w:szCs w:val="24"/>
                <w:highlight w:val="none"/>
                <w:lang w:val="en-US" w:eastAsia="zh-CN"/>
              </w:rPr>
              <w:t>3</w:t>
            </w:r>
            <w:r>
              <w:rPr>
                <w:rFonts w:hint="eastAsia" w:ascii="宋体" w:hAnsi="宋体" w:eastAsia="宋体" w:cs="宋体"/>
                <w:b/>
                <w:bCs/>
                <w:color w:val="auto"/>
                <w:sz w:val="24"/>
                <w:szCs w:val="24"/>
                <w:highlight w:val="none"/>
              </w:rPr>
              <w:t>年</w:t>
            </w:r>
            <w:r>
              <w:rPr>
                <w:rFonts w:hint="eastAsia" w:ascii="宋体" w:hAnsi="宋体" w:eastAsia="宋体" w:cs="宋体"/>
                <w:b/>
                <w:bCs/>
                <w:color w:val="auto"/>
                <w:sz w:val="24"/>
                <w:szCs w:val="24"/>
                <w:highlight w:val="none"/>
                <w:lang w:val="en-US" w:eastAsia="zh-CN"/>
              </w:rPr>
              <w:t>3</w:t>
            </w:r>
            <w:r>
              <w:rPr>
                <w:rFonts w:hint="eastAsia" w:ascii="宋体" w:hAnsi="宋体" w:eastAsia="宋体" w:cs="宋体"/>
                <w:b/>
                <w:bCs/>
                <w:color w:val="auto"/>
                <w:sz w:val="24"/>
                <w:szCs w:val="24"/>
                <w:highlight w:val="none"/>
              </w:rPr>
              <w:t>月</w:t>
            </w:r>
            <w:r>
              <w:rPr>
                <w:rFonts w:hint="eastAsia" w:ascii="宋体" w:hAnsi="宋体" w:cs="宋体"/>
                <w:b/>
                <w:bCs/>
                <w:color w:val="auto"/>
                <w:sz w:val="24"/>
                <w:szCs w:val="24"/>
                <w:highlight w:val="none"/>
                <w:lang w:val="en-US" w:eastAsia="zh-CN"/>
              </w:rPr>
              <w:t>31</w:t>
            </w:r>
            <w:r>
              <w:rPr>
                <w:rFonts w:hint="eastAsia" w:ascii="宋体" w:hAnsi="宋体" w:eastAsia="宋体" w:cs="宋体"/>
                <w:b/>
                <w:bCs/>
                <w:color w:val="auto"/>
                <w:sz w:val="24"/>
                <w:szCs w:val="24"/>
                <w:highlight w:val="none"/>
              </w:rPr>
              <w:t>日</w:t>
            </w:r>
            <w:r>
              <w:rPr>
                <w:rFonts w:hint="eastAsia" w:ascii="宋体" w:hAnsi="宋体" w:eastAsia="宋体" w:cs="宋体"/>
                <w:b/>
                <w:bCs/>
                <w:color w:val="auto"/>
                <w:sz w:val="24"/>
                <w:szCs w:val="24"/>
                <w:highlight w:val="none"/>
                <w:lang w:val="en-US" w:eastAsia="zh-CN"/>
              </w:rPr>
              <w:t>9</w:t>
            </w:r>
            <w:r>
              <w:rPr>
                <w:rFonts w:hint="eastAsia" w:ascii="宋体" w:hAnsi="宋体" w:eastAsia="宋体" w:cs="宋体"/>
                <w:b/>
                <w:bCs/>
                <w:color w:val="auto"/>
                <w:sz w:val="24"/>
                <w:szCs w:val="24"/>
                <w:highlight w:val="none"/>
              </w:rPr>
              <w:t>时00分</w:t>
            </w:r>
            <w:r>
              <w:rPr>
                <w:rFonts w:hint="eastAsia" w:ascii="宋体" w:hAnsi="宋体" w:eastAsia="宋体" w:cs="宋体"/>
                <w:color w:val="auto"/>
                <w:sz w:val="24"/>
                <w:szCs w:val="24"/>
                <w:highlight w:val="none"/>
              </w:rPr>
              <w:t xml:space="preserve">  </w:t>
            </w:r>
          </w:p>
          <w:p>
            <w:pPr>
              <w:keepNext w:val="0"/>
              <w:keepLines w:val="0"/>
              <w:pageBreakBefore w:val="0"/>
              <w:kinsoku/>
              <w:wordWrap/>
              <w:overflowPunct/>
              <w:autoSpaceDE/>
              <w:autoSpaceDN/>
              <w:bidi w:val="0"/>
              <w:adjustRightInd/>
              <w:snapToGrid/>
              <w:spacing w:line="400" w:lineRule="exact"/>
              <w:jc w:val="left"/>
              <w:textAlignment w:val="auto"/>
              <w:rPr>
                <w:rFonts w:hint="eastAsia" w:ascii="宋体" w:hAnsi="宋体" w:eastAsia="宋体" w:cs="宋体"/>
                <w:color w:val="auto"/>
                <w:sz w:val="24"/>
                <w:szCs w:val="24"/>
                <w:highlight w:val="none"/>
                <w:u w:val="single"/>
                <w:lang w:eastAsia="zh-CN"/>
              </w:rPr>
            </w:pPr>
            <w:r>
              <w:rPr>
                <w:rFonts w:hint="eastAsia" w:ascii="宋体" w:hAnsi="宋体" w:eastAsia="宋体" w:cs="宋体"/>
                <w:color w:val="auto"/>
                <w:kern w:val="0"/>
                <w:sz w:val="24"/>
                <w:szCs w:val="24"/>
                <w:highlight w:val="none"/>
              </w:rPr>
              <w:t>开标地点：</w:t>
            </w:r>
            <w:r>
              <w:rPr>
                <w:rFonts w:hint="eastAsia" w:ascii="宋体" w:hAnsi="宋体" w:eastAsia="宋体" w:cs="宋体"/>
                <w:color w:val="auto"/>
                <w:sz w:val="24"/>
                <w:szCs w:val="24"/>
                <w:highlight w:val="none"/>
              </w:rPr>
              <w:t>滁州市</w:t>
            </w:r>
            <w:r>
              <w:rPr>
                <w:rFonts w:hint="eastAsia" w:ascii="宋体" w:hAnsi="宋体" w:eastAsia="宋体" w:cs="宋体"/>
                <w:color w:val="auto"/>
                <w:sz w:val="24"/>
                <w:szCs w:val="24"/>
                <w:highlight w:val="none"/>
                <w:lang w:val="en-US" w:eastAsia="zh-CN"/>
              </w:rPr>
              <w:t>凤凰东路476号投资大厦12楼</w:t>
            </w:r>
            <w:r>
              <w:rPr>
                <w:rFonts w:hint="eastAsia" w:ascii="宋体" w:hAnsi="宋体" w:eastAsia="宋体" w:cs="宋体"/>
                <w:color w:val="auto"/>
                <w:sz w:val="24"/>
                <w:szCs w:val="24"/>
                <w:highlight w:val="none"/>
              </w:rPr>
              <w:t>会议室</w:t>
            </w:r>
          </w:p>
        </w:tc>
      </w:tr>
      <w:tr>
        <w:tblPrEx>
          <w:tblCellMar>
            <w:top w:w="0" w:type="dxa"/>
            <w:left w:w="0" w:type="dxa"/>
            <w:bottom w:w="0" w:type="dxa"/>
            <w:right w:w="0" w:type="dxa"/>
          </w:tblCellMar>
        </w:tblPrEx>
        <w:trPr>
          <w:trHeight w:val="786" w:hRule="atLeast"/>
          <w:jc w:val="center"/>
        </w:trPr>
        <w:tc>
          <w:tcPr>
            <w:tcW w:w="831" w:type="dxa"/>
            <w:tcBorders>
              <w:top w:val="single" w:color="auto" w:sz="8" w:space="0"/>
              <w:left w:val="single" w:color="auto" w:sz="8" w:space="0"/>
              <w:bottom w:val="single" w:color="auto" w:sz="8" w:space="0"/>
              <w:right w:val="single" w:color="auto" w:sz="8" w:space="0"/>
            </w:tcBorders>
            <w:vAlign w:val="center"/>
          </w:tcPr>
          <w:p>
            <w:pPr>
              <w:keepNext w:val="0"/>
              <w:keepLines w:val="0"/>
              <w:pageBreakBefore w:val="0"/>
              <w:kinsoku/>
              <w:wordWrap/>
              <w:overflowPunct/>
              <w:autoSpaceDE/>
              <w:autoSpaceDN/>
              <w:bidi w:val="0"/>
              <w:adjustRightInd/>
              <w:snapToGrid/>
              <w:spacing w:line="400" w:lineRule="exact"/>
              <w:jc w:val="center"/>
              <w:textAlignment w:val="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13</w:t>
            </w:r>
          </w:p>
        </w:tc>
        <w:tc>
          <w:tcPr>
            <w:tcW w:w="1881" w:type="dxa"/>
            <w:tcBorders>
              <w:top w:val="single" w:color="auto" w:sz="8" w:space="0"/>
              <w:left w:val="single" w:color="auto" w:sz="4" w:space="0"/>
              <w:bottom w:val="single" w:color="auto" w:sz="8" w:space="0"/>
              <w:right w:val="single" w:color="auto" w:sz="4" w:space="0"/>
            </w:tcBorders>
            <w:vAlign w:val="center"/>
          </w:tcPr>
          <w:p>
            <w:pPr>
              <w:keepNext w:val="0"/>
              <w:keepLines w:val="0"/>
              <w:pageBreakBefore w:val="0"/>
              <w:kinsoku/>
              <w:wordWrap/>
              <w:overflowPunct/>
              <w:autoSpaceDE/>
              <w:autoSpaceDN/>
              <w:bidi w:val="0"/>
              <w:adjustRightInd/>
              <w:snapToGrid/>
              <w:spacing w:line="400" w:lineRule="exact"/>
              <w:jc w:val="center"/>
              <w:textAlignment w:val="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招标代理费</w:t>
            </w:r>
          </w:p>
        </w:tc>
        <w:tc>
          <w:tcPr>
            <w:tcW w:w="7255" w:type="dxa"/>
            <w:tcBorders>
              <w:top w:val="single" w:color="auto" w:sz="8" w:space="0"/>
              <w:left w:val="single" w:color="auto" w:sz="4" w:space="0"/>
              <w:bottom w:val="single" w:color="auto" w:sz="8" w:space="0"/>
              <w:right w:val="single" w:color="auto" w:sz="8" w:space="0"/>
            </w:tcBorders>
            <w:vAlign w:val="center"/>
          </w:tcPr>
          <w:p>
            <w:pPr>
              <w:keepNext w:val="0"/>
              <w:keepLines w:val="0"/>
              <w:pageBreakBefore w:val="0"/>
              <w:kinsoku/>
              <w:wordWrap/>
              <w:overflowPunct/>
              <w:autoSpaceDE/>
              <w:autoSpaceDN/>
              <w:bidi w:val="0"/>
              <w:adjustRightInd/>
              <w:snapToGrid/>
              <w:spacing w:line="400" w:lineRule="exact"/>
              <w:jc w:val="left"/>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代理服务具体金额：3000元。</w:t>
            </w:r>
          </w:p>
          <w:p>
            <w:pPr>
              <w:keepNext w:val="0"/>
              <w:keepLines w:val="0"/>
              <w:pageBreakBefore w:val="0"/>
              <w:kinsoku/>
              <w:wordWrap/>
              <w:overflowPunct/>
              <w:autoSpaceDE/>
              <w:autoSpaceDN/>
              <w:bidi w:val="0"/>
              <w:adjustRightInd/>
              <w:snapToGrid/>
              <w:spacing w:line="400" w:lineRule="exact"/>
              <w:jc w:val="left"/>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代理服务费：中标单位在领取中标通知书前一次性支付给代理公司，含在投标报价让利中。</w:t>
            </w:r>
          </w:p>
        </w:tc>
      </w:tr>
      <w:tr>
        <w:tblPrEx>
          <w:tblCellMar>
            <w:top w:w="0" w:type="dxa"/>
            <w:left w:w="0" w:type="dxa"/>
            <w:bottom w:w="0" w:type="dxa"/>
            <w:right w:w="0" w:type="dxa"/>
          </w:tblCellMar>
        </w:tblPrEx>
        <w:trPr>
          <w:trHeight w:val="786" w:hRule="atLeast"/>
          <w:jc w:val="center"/>
        </w:trPr>
        <w:tc>
          <w:tcPr>
            <w:tcW w:w="831" w:type="dxa"/>
            <w:tcBorders>
              <w:top w:val="single" w:color="auto" w:sz="8" w:space="0"/>
              <w:left w:val="single" w:color="auto" w:sz="8" w:space="0"/>
              <w:bottom w:val="single" w:color="auto" w:sz="8" w:space="0"/>
              <w:right w:val="single" w:color="auto" w:sz="8" w:space="0"/>
            </w:tcBorders>
            <w:vAlign w:val="center"/>
          </w:tcPr>
          <w:p>
            <w:pPr>
              <w:keepNext w:val="0"/>
              <w:keepLines w:val="0"/>
              <w:pageBreakBefore w:val="0"/>
              <w:kinsoku/>
              <w:wordWrap/>
              <w:overflowPunct/>
              <w:autoSpaceDE/>
              <w:autoSpaceDN/>
              <w:bidi w:val="0"/>
              <w:adjustRightInd/>
              <w:snapToGrid/>
              <w:spacing w:line="400" w:lineRule="exact"/>
              <w:jc w:val="center"/>
              <w:textAlignment w:val="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14</w:t>
            </w:r>
          </w:p>
        </w:tc>
        <w:tc>
          <w:tcPr>
            <w:tcW w:w="1881" w:type="dxa"/>
            <w:tcBorders>
              <w:top w:val="single" w:color="auto" w:sz="8" w:space="0"/>
              <w:left w:val="single" w:color="auto" w:sz="4" w:space="0"/>
              <w:bottom w:val="single" w:color="auto" w:sz="8" w:space="0"/>
              <w:right w:val="single" w:color="auto" w:sz="4" w:space="0"/>
            </w:tcBorders>
            <w:vAlign w:val="center"/>
          </w:tcPr>
          <w:p>
            <w:pPr>
              <w:keepNext w:val="0"/>
              <w:keepLines w:val="0"/>
              <w:pageBreakBefore w:val="0"/>
              <w:kinsoku/>
              <w:wordWrap/>
              <w:overflowPunct/>
              <w:autoSpaceDE/>
              <w:autoSpaceDN/>
              <w:bidi w:val="0"/>
              <w:adjustRightInd/>
              <w:snapToGrid/>
              <w:spacing w:line="400" w:lineRule="exact"/>
              <w:jc w:val="left"/>
              <w:textAlignment w:val="auto"/>
              <w:rPr>
                <w:rFonts w:hint="eastAsia" w:ascii="宋体" w:hAnsi="宋体" w:eastAsia="宋体" w:cs="宋体"/>
                <w:color w:val="auto"/>
                <w:kern w:val="0"/>
                <w:sz w:val="24"/>
                <w:szCs w:val="24"/>
              </w:rPr>
            </w:pPr>
            <w:r>
              <w:rPr>
                <w:rFonts w:hint="eastAsia" w:ascii="宋体" w:hAnsi="宋体" w:eastAsia="宋体" w:cs="宋体"/>
                <w:color w:val="auto"/>
                <w:sz w:val="24"/>
                <w:szCs w:val="24"/>
              </w:rPr>
              <w:t>付款方式、时间、条件</w:t>
            </w:r>
          </w:p>
        </w:tc>
        <w:tc>
          <w:tcPr>
            <w:tcW w:w="7255" w:type="dxa"/>
            <w:tcBorders>
              <w:top w:val="single" w:color="auto" w:sz="8" w:space="0"/>
              <w:left w:val="single" w:color="auto" w:sz="4" w:space="0"/>
              <w:bottom w:val="single" w:color="auto" w:sz="8" w:space="0"/>
              <w:right w:val="single" w:color="auto" w:sz="8" w:space="0"/>
            </w:tcBorders>
            <w:vAlign w:val="center"/>
          </w:tcPr>
          <w:p>
            <w:pPr>
              <w:keepNext w:val="0"/>
              <w:keepLines w:val="0"/>
              <w:pageBreakBefore w:val="0"/>
              <w:kinsoku/>
              <w:wordWrap/>
              <w:overflowPunct/>
              <w:autoSpaceDE/>
              <w:autoSpaceDN/>
              <w:bidi w:val="0"/>
              <w:adjustRightInd/>
              <w:snapToGrid/>
              <w:spacing w:line="400" w:lineRule="exact"/>
              <w:textAlignment w:val="auto"/>
              <w:rPr>
                <w:rFonts w:hint="eastAsia" w:ascii="宋体" w:hAnsi="宋体" w:eastAsia="宋体" w:cs="宋体"/>
                <w:color w:val="auto"/>
                <w:kern w:val="0"/>
                <w:sz w:val="24"/>
                <w:szCs w:val="24"/>
              </w:rPr>
            </w:pPr>
            <w:r>
              <w:rPr>
                <w:rFonts w:hint="eastAsia" w:ascii="宋体" w:hAnsi="宋体" w:cs="宋体"/>
                <w:b/>
                <w:bCs/>
                <w:color w:val="auto"/>
                <w:szCs w:val="21"/>
                <w:highlight w:val="none"/>
                <w:lang w:eastAsia="zh-CN"/>
              </w:rPr>
              <w:t>乙方及时完成项目审计工作并出具审核报告，交付甲方审查确认后，按照审计委托协议约定</w:t>
            </w:r>
            <w:r>
              <w:rPr>
                <w:rFonts w:hint="eastAsia" w:ascii="宋体" w:hAnsi="宋体" w:cs="宋体"/>
                <w:b/>
                <w:bCs/>
                <w:color w:val="auto"/>
                <w:szCs w:val="21"/>
                <w:highlight w:val="none"/>
                <w:lang w:val="en-US" w:eastAsia="zh-CN"/>
              </w:rPr>
              <w:t>一次性支付</w:t>
            </w:r>
            <w:r>
              <w:rPr>
                <w:rFonts w:hint="eastAsia" w:ascii="宋体" w:hAnsi="宋体" w:cs="宋体"/>
                <w:b/>
                <w:bCs/>
                <w:color w:val="auto"/>
                <w:szCs w:val="21"/>
                <w:highlight w:val="none"/>
                <w:lang w:eastAsia="zh-CN"/>
              </w:rPr>
              <w:t>审计服务费用。</w:t>
            </w:r>
          </w:p>
        </w:tc>
      </w:tr>
      <w:tr>
        <w:tblPrEx>
          <w:tblCellMar>
            <w:top w:w="0" w:type="dxa"/>
            <w:left w:w="0" w:type="dxa"/>
            <w:bottom w:w="0" w:type="dxa"/>
            <w:right w:w="0" w:type="dxa"/>
          </w:tblCellMar>
        </w:tblPrEx>
        <w:trPr>
          <w:trHeight w:val="786" w:hRule="atLeast"/>
          <w:jc w:val="center"/>
        </w:trPr>
        <w:tc>
          <w:tcPr>
            <w:tcW w:w="831" w:type="dxa"/>
            <w:tcBorders>
              <w:top w:val="single" w:color="auto" w:sz="8" w:space="0"/>
              <w:left w:val="single" w:color="auto" w:sz="8" w:space="0"/>
              <w:bottom w:val="single" w:color="auto" w:sz="8" w:space="0"/>
              <w:right w:val="single" w:color="auto" w:sz="8" w:space="0"/>
            </w:tcBorders>
            <w:vAlign w:val="center"/>
          </w:tcPr>
          <w:p>
            <w:pPr>
              <w:keepNext w:val="0"/>
              <w:keepLines w:val="0"/>
              <w:pageBreakBefore w:val="0"/>
              <w:kinsoku/>
              <w:wordWrap/>
              <w:overflowPunct/>
              <w:autoSpaceDE/>
              <w:autoSpaceDN/>
              <w:bidi w:val="0"/>
              <w:adjustRightInd/>
              <w:snapToGrid/>
              <w:spacing w:line="400" w:lineRule="exact"/>
              <w:jc w:val="center"/>
              <w:textAlignment w:val="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15</w:t>
            </w:r>
          </w:p>
        </w:tc>
        <w:tc>
          <w:tcPr>
            <w:tcW w:w="1881" w:type="dxa"/>
            <w:tcBorders>
              <w:top w:val="single" w:color="auto" w:sz="8" w:space="0"/>
              <w:left w:val="single" w:color="auto" w:sz="4" w:space="0"/>
              <w:bottom w:val="single" w:color="auto" w:sz="8" w:space="0"/>
              <w:right w:val="single" w:color="auto" w:sz="4" w:space="0"/>
            </w:tcBorders>
            <w:vAlign w:val="center"/>
          </w:tcPr>
          <w:p>
            <w:pPr>
              <w:keepNext w:val="0"/>
              <w:keepLines w:val="0"/>
              <w:pageBreakBefore w:val="0"/>
              <w:kinsoku/>
              <w:wordWrap/>
              <w:overflowPunct/>
              <w:autoSpaceDE/>
              <w:autoSpaceDN/>
              <w:bidi w:val="0"/>
              <w:adjustRightInd/>
              <w:snapToGrid/>
              <w:spacing w:line="400" w:lineRule="exact"/>
              <w:jc w:val="center"/>
              <w:textAlignment w:val="auto"/>
              <w:rPr>
                <w:rFonts w:hint="eastAsia" w:ascii="宋体" w:hAnsi="宋体" w:eastAsia="宋体" w:cs="宋体"/>
                <w:color w:val="auto"/>
                <w:kern w:val="0"/>
                <w:sz w:val="24"/>
                <w:szCs w:val="24"/>
              </w:rPr>
            </w:pPr>
            <w:r>
              <w:rPr>
                <w:rFonts w:hint="eastAsia" w:ascii="宋体" w:hAnsi="宋体" w:eastAsia="宋体" w:cs="宋体"/>
                <w:color w:val="auto"/>
                <w:sz w:val="24"/>
                <w:szCs w:val="24"/>
              </w:rPr>
              <w:t>到会审查要求</w:t>
            </w:r>
          </w:p>
        </w:tc>
        <w:tc>
          <w:tcPr>
            <w:tcW w:w="7255" w:type="dxa"/>
            <w:tcBorders>
              <w:top w:val="single" w:color="auto" w:sz="8" w:space="0"/>
              <w:left w:val="single" w:color="auto" w:sz="4" w:space="0"/>
              <w:bottom w:val="single" w:color="auto" w:sz="8" w:space="0"/>
              <w:right w:val="single" w:color="auto" w:sz="8" w:space="0"/>
            </w:tcBorders>
            <w:vAlign w:val="center"/>
          </w:tcPr>
          <w:p>
            <w:pPr>
              <w:keepNext w:val="0"/>
              <w:keepLines w:val="0"/>
              <w:pageBreakBefore w:val="0"/>
              <w:kinsoku/>
              <w:wordWrap/>
              <w:overflowPunct/>
              <w:autoSpaceDE/>
              <w:autoSpaceDN/>
              <w:bidi w:val="0"/>
              <w:adjustRightInd/>
              <w:snapToGrid/>
              <w:spacing w:line="400" w:lineRule="exact"/>
              <w:textAlignment w:val="auto"/>
              <w:rPr>
                <w:rFonts w:hint="eastAsia" w:ascii="宋体" w:hAnsi="宋体" w:eastAsia="宋体" w:cs="宋体"/>
                <w:color w:val="auto"/>
                <w:kern w:val="0"/>
                <w:sz w:val="24"/>
                <w:szCs w:val="24"/>
              </w:rPr>
            </w:pPr>
            <w:r>
              <w:rPr>
                <w:rFonts w:hint="eastAsia" w:ascii="宋体" w:hAnsi="宋体" w:eastAsia="宋体" w:cs="宋体"/>
                <w:b/>
                <w:bCs/>
                <w:color w:val="auto"/>
                <w:sz w:val="24"/>
                <w:szCs w:val="24"/>
              </w:rPr>
              <w:t>投标人应派授权代表（授权委托人或法定代表人）准时递交投标文件和出席开标会议。递交投标文件和出席开标会议时，如为授权委托人参加须携带有效身份证原件和授权委托书审查，如为法定代表人参加须携带有效身份证原件和法定代表人身份证明审查。否则，按无效标处理。</w:t>
            </w:r>
          </w:p>
        </w:tc>
      </w:tr>
      <w:tr>
        <w:tblPrEx>
          <w:tblCellMar>
            <w:top w:w="0" w:type="dxa"/>
            <w:left w:w="0" w:type="dxa"/>
            <w:bottom w:w="0" w:type="dxa"/>
            <w:right w:w="0" w:type="dxa"/>
          </w:tblCellMar>
        </w:tblPrEx>
        <w:trPr>
          <w:trHeight w:val="786" w:hRule="atLeast"/>
          <w:jc w:val="center"/>
        </w:trPr>
        <w:tc>
          <w:tcPr>
            <w:tcW w:w="831" w:type="dxa"/>
            <w:tcBorders>
              <w:top w:val="single" w:color="auto" w:sz="8" w:space="0"/>
              <w:left w:val="single" w:color="auto" w:sz="8" w:space="0"/>
              <w:bottom w:val="single" w:color="auto" w:sz="8" w:space="0"/>
              <w:right w:val="single" w:color="auto" w:sz="8" w:space="0"/>
            </w:tcBorders>
            <w:vAlign w:val="center"/>
          </w:tcPr>
          <w:p>
            <w:pPr>
              <w:keepNext w:val="0"/>
              <w:keepLines w:val="0"/>
              <w:pageBreakBefore w:val="0"/>
              <w:kinsoku/>
              <w:wordWrap/>
              <w:overflowPunct/>
              <w:autoSpaceDE/>
              <w:autoSpaceDN/>
              <w:bidi w:val="0"/>
              <w:adjustRightInd/>
              <w:snapToGrid/>
              <w:spacing w:line="400" w:lineRule="exact"/>
              <w:jc w:val="center"/>
              <w:textAlignment w:val="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16</w:t>
            </w:r>
          </w:p>
        </w:tc>
        <w:tc>
          <w:tcPr>
            <w:tcW w:w="1881" w:type="dxa"/>
            <w:tcBorders>
              <w:top w:val="single" w:color="auto" w:sz="8" w:space="0"/>
              <w:left w:val="single" w:color="auto" w:sz="4" w:space="0"/>
              <w:bottom w:val="single" w:color="auto" w:sz="8" w:space="0"/>
              <w:right w:val="single" w:color="auto" w:sz="4" w:space="0"/>
            </w:tcBorders>
            <w:vAlign w:val="center"/>
          </w:tcPr>
          <w:p>
            <w:pPr>
              <w:keepNext w:val="0"/>
              <w:keepLines w:val="0"/>
              <w:pageBreakBefore w:val="0"/>
              <w:kinsoku/>
              <w:wordWrap/>
              <w:overflowPunct/>
              <w:autoSpaceDE/>
              <w:autoSpaceDN/>
              <w:bidi w:val="0"/>
              <w:adjustRightInd/>
              <w:snapToGrid/>
              <w:spacing w:line="400" w:lineRule="exac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招标文件获取方式和时间</w:t>
            </w:r>
          </w:p>
        </w:tc>
        <w:tc>
          <w:tcPr>
            <w:tcW w:w="7255" w:type="dxa"/>
            <w:tcBorders>
              <w:top w:val="single" w:color="auto" w:sz="8" w:space="0"/>
              <w:left w:val="single" w:color="auto" w:sz="4" w:space="0"/>
              <w:bottom w:val="single" w:color="auto" w:sz="8" w:space="0"/>
              <w:right w:val="single" w:color="auto" w:sz="8" w:space="0"/>
            </w:tcBorders>
          </w:tcPr>
          <w:p>
            <w:pPr>
              <w:keepNext w:val="0"/>
              <w:keepLines w:val="0"/>
              <w:pageBreakBefore w:val="0"/>
              <w:kinsoku/>
              <w:wordWrap/>
              <w:overflowPunct/>
              <w:topLinePunct/>
              <w:autoSpaceDE/>
              <w:autoSpaceDN/>
              <w:bidi w:val="0"/>
              <w:adjustRightInd/>
              <w:snapToGrid/>
              <w:spacing w:line="400" w:lineRule="exac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招标文件获取方式：网上或公众号下载；</w:t>
            </w:r>
          </w:p>
          <w:p>
            <w:pPr>
              <w:keepNext w:val="0"/>
              <w:keepLines w:val="0"/>
              <w:pageBreakBefore w:val="0"/>
              <w:kinsoku/>
              <w:wordWrap/>
              <w:overflowPunct/>
              <w:topLinePunct/>
              <w:autoSpaceDE/>
              <w:autoSpaceDN/>
              <w:bidi w:val="0"/>
              <w:adjustRightInd/>
              <w:snapToGrid/>
              <w:spacing w:line="400" w:lineRule="exact"/>
              <w:textAlignment w:val="auto"/>
              <w:rPr>
                <w:rFonts w:hint="eastAsia" w:ascii="宋体" w:hAnsi="宋体" w:eastAsia="宋体" w:cs="宋体"/>
                <w:b/>
                <w:bCs/>
                <w:color w:val="auto"/>
                <w:sz w:val="24"/>
                <w:szCs w:val="24"/>
              </w:rPr>
            </w:pPr>
            <w:r>
              <w:rPr>
                <w:rFonts w:hint="eastAsia" w:ascii="宋体" w:hAnsi="宋体" w:eastAsia="宋体" w:cs="宋体"/>
                <w:color w:val="auto"/>
                <w:sz w:val="24"/>
                <w:szCs w:val="24"/>
              </w:rPr>
              <w:t>获取时间：招标文件发布至投标截止时间。</w:t>
            </w:r>
          </w:p>
        </w:tc>
      </w:tr>
      <w:tr>
        <w:tblPrEx>
          <w:tblCellMar>
            <w:top w:w="0" w:type="dxa"/>
            <w:left w:w="0" w:type="dxa"/>
            <w:bottom w:w="0" w:type="dxa"/>
            <w:right w:w="0" w:type="dxa"/>
          </w:tblCellMar>
        </w:tblPrEx>
        <w:trPr>
          <w:trHeight w:val="786" w:hRule="atLeast"/>
          <w:jc w:val="center"/>
        </w:trPr>
        <w:tc>
          <w:tcPr>
            <w:tcW w:w="831" w:type="dxa"/>
            <w:tcBorders>
              <w:top w:val="single" w:color="auto" w:sz="8" w:space="0"/>
              <w:left w:val="single" w:color="auto" w:sz="8" w:space="0"/>
              <w:bottom w:val="single" w:color="auto" w:sz="8" w:space="0"/>
              <w:right w:val="single" w:color="auto" w:sz="8" w:space="0"/>
            </w:tcBorders>
            <w:vAlign w:val="center"/>
          </w:tcPr>
          <w:p>
            <w:pPr>
              <w:keepNext w:val="0"/>
              <w:keepLines w:val="0"/>
              <w:pageBreakBefore w:val="0"/>
              <w:kinsoku/>
              <w:wordWrap/>
              <w:overflowPunct/>
              <w:autoSpaceDE/>
              <w:autoSpaceDN/>
              <w:bidi w:val="0"/>
              <w:adjustRightInd/>
              <w:snapToGrid/>
              <w:spacing w:line="400" w:lineRule="exact"/>
              <w:jc w:val="center"/>
              <w:textAlignment w:val="auto"/>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17</w:t>
            </w:r>
          </w:p>
        </w:tc>
        <w:tc>
          <w:tcPr>
            <w:tcW w:w="1881" w:type="dxa"/>
            <w:tcBorders>
              <w:top w:val="single" w:color="auto" w:sz="8" w:space="0"/>
              <w:left w:val="single" w:color="auto" w:sz="4" w:space="0"/>
              <w:bottom w:val="single" w:color="auto" w:sz="8" w:space="0"/>
              <w:right w:val="single" w:color="auto" w:sz="4" w:space="0"/>
            </w:tcBorders>
            <w:vAlign w:val="center"/>
          </w:tcPr>
          <w:p>
            <w:pPr>
              <w:keepNext w:val="0"/>
              <w:keepLines w:val="0"/>
              <w:pageBreakBefore w:val="0"/>
              <w:widowControl/>
              <w:kinsoku/>
              <w:wordWrap/>
              <w:overflowPunct/>
              <w:autoSpaceDE/>
              <w:autoSpaceDN/>
              <w:bidi w:val="0"/>
              <w:adjustRightInd/>
              <w:snapToGrid/>
              <w:spacing w:line="400" w:lineRule="exact"/>
              <w:jc w:val="center"/>
              <w:textAlignment w:val="auto"/>
              <w:rPr>
                <w:rFonts w:hint="eastAsia" w:ascii="宋体" w:hAnsi="宋体" w:eastAsia="宋体" w:cs="宋体"/>
                <w:color w:val="auto"/>
                <w:sz w:val="24"/>
                <w:szCs w:val="24"/>
              </w:rPr>
            </w:pPr>
            <w:r>
              <w:rPr>
                <w:rFonts w:hint="eastAsia" w:ascii="宋体" w:hAnsi="宋体" w:eastAsia="宋体" w:cs="宋体"/>
                <w:color w:val="auto"/>
                <w:kern w:val="0"/>
                <w:sz w:val="24"/>
                <w:szCs w:val="24"/>
              </w:rPr>
              <w:t>特别提示</w:t>
            </w:r>
          </w:p>
        </w:tc>
        <w:tc>
          <w:tcPr>
            <w:tcW w:w="7255" w:type="dxa"/>
            <w:tcBorders>
              <w:top w:val="single" w:color="auto" w:sz="8" w:space="0"/>
              <w:left w:val="single" w:color="auto" w:sz="4" w:space="0"/>
              <w:bottom w:val="single" w:color="auto" w:sz="8" w:space="0"/>
              <w:right w:val="single" w:color="auto" w:sz="8" w:space="0"/>
            </w:tcBorders>
          </w:tcPr>
          <w:p>
            <w:pPr>
              <w:keepNext w:val="0"/>
              <w:keepLines w:val="0"/>
              <w:pageBreakBefore w:val="0"/>
              <w:kinsoku/>
              <w:wordWrap/>
              <w:overflowPunct/>
              <w:autoSpaceDE/>
              <w:autoSpaceDN/>
              <w:bidi w:val="0"/>
              <w:adjustRightInd/>
              <w:snapToGrid/>
              <w:spacing w:line="400" w:lineRule="exact"/>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1、如果过程中出现招标文件更改，应以最后发布的招标答疑澄清文件中的模板制作本项目最新投标文件。</w:t>
            </w:r>
          </w:p>
          <w:p>
            <w:pPr>
              <w:keepNext w:val="0"/>
              <w:keepLines w:val="0"/>
              <w:pageBreakBefore w:val="0"/>
              <w:kinsoku/>
              <w:wordWrap/>
              <w:overflowPunct/>
              <w:autoSpaceDE/>
              <w:autoSpaceDN/>
              <w:bidi w:val="0"/>
              <w:adjustRightInd/>
              <w:snapToGrid/>
              <w:spacing w:line="400" w:lineRule="exact"/>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2、投标人单方面出现其他投标人材料的，由评标委员会否决其投标。</w:t>
            </w:r>
          </w:p>
          <w:p>
            <w:pPr>
              <w:keepNext w:val="0"/>
              <w:keepLines w:val="0"/>
              <w:pageBreakBefore w:val="0"/>
              <w:kinsoku/>
              <w:wordWrap/>
              <w:overflowPunct/>
              <w:autoSpaceDE/>
              <w:autoSpaceDN/>
              <w:bidi w:val="0"/>
              <w:adjustRightInd/>
              <w:snapToGrid/>
              <w:spacing w:line="400" w:lineRule="exact"/>
              <w:jc w:val="left"/>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3、拟派人员</w:t>
            </w:r>
            <w:r>
              <w:rPr>
                <w:rFonts w:hint="eastAsia" w:ascii="宋体" w:hAnsi="宋体" w:eastAsia="宋体" w:cs="宋体"/>
                <w:color w:val="auto"/>
                <w:sz w:val="24"/>
                <w:szCs w:val="24"/>
              </w:rPr>
              <w:t>实行考勤，考勤由建设单位或监理单位负责</w:t>
            </w:r>
            <w:r>
              <w:rPr>
                <w:rFonts w:hint="eastAsia" w:ascii="宋体" w:hAnsi="宋体" w:eastAsia="宋体" w:cs="宋体"/>
                <w:color w:val="auto"/>
                <w:sz w:val="24"/>
                <w:szCs w:val="24"/>
                <w:lang w:eastAsia="zh-CN"/>
              </w:rPr>
              <w:t>，</w:t>
            </w:r>
            <w:r>
              <w:rPr>
                <w:rFonts w:hint="eastAsia" w:ascii="宋体" w:hAnsi="宋体" w:eastAsia="宋体" w:cs="宋体"/>
                <w:color w:val="auto"/>
                <w:sz w:val="24"/>
                <w:szCs w:val="24"/>
                <w:lang w:val="en-US" w:eastAsia="zh-CN"/>
              </w:rPr>
              <w:t>项目负责人每月在岗时间不得少于22天，且每天驻场人员不得少于2人，否则扣除5000元/天，若发现三次以上，招标人有权清退出场。</w:t>
            </w:r>
          </w:p>
        </w:tc>
      </w:tr>
    </w:tbl>
    <w:p>
      <w:pPr>
        <w:spacing w:line="420" w:lineRule="exact"/>
        <w:rPr>
          <w:rFonts w:ascii="仿宋" w:hAnsi="仿宋" w:eastAsia="仿宋" w:cs="仿宋"/>
          <w:color w:val="auto"/>
          <w:sz w:val="32"/>
          <w:szCs w:val="32"/>
        </w:rPr>
      </w:pPr>
    </w:p>
    <w:p>
      <w:pPr>
        <w:rPr>
          <w:rFonts w:ascii="仿宋" w:hAnsi="仿宋" w:eastAsia="仿宋" w:cs="仿宋"/>
          <w:color w:val="auto"/>
          <w:sz w:val="32"/>
          <w:szCs w:val="32"/>
        </w:rPr>
      </w:pPr>
      <w:r>
        <w:rPr>
          <w:rFonts w:ascii="仿宋" w:hAnsi="仿宋" w:eastAsia="仿宋" w:cs="仿宋"/>
          <w:color w:val="auto"/>
          <w:sz w:val="32"/>
          <w:szCs w:val="32"/>
        </w:rPr>
        <w:br w:type="page"/>
      </w:r>
    </w:p>
    <w:p>
      <w:pPr>
        <w:pStyle w:val="6"/>
        <w:spacing w:before="0" w:after="0"/>
        <w:rPr>
          <w:rFonts w:ascii="宋体" w:hAnsi="宋体" w:eastAsia="宋体" w:cs="宋体"/>
          <w:color w:val="auto"/>
          <w:kern w:val="2"/>
          <w:sz w:val="28"/>
          <w:szCs w:val="28"/>
        </w:rPr>
      </w:pPr>
      <w:bookmarkStart w:id="38" w:name="_Toc25340"/>
      <w:bookmarkStart w:id="39" w:name="_Toc24499"/>
      <w:r>
        <w:rPr>
          <w:rFonts w:hint="eastAsia" w:ascii="宋体" w:hAnsi="宋体" w:eastAsia="宋体" w:cs="宋体"/>
          <w:color w:val="auto"/>
          <w:kern w:val="2"/>
          <w:sz w:val="28"/>
          <w:szCs w:val="28"/>
        </w:rPr>
        <w:t>第二章投标须知</w:t>
      </w:r>
      <w:bookmarkEnd w:id="38"/>
      <w:bookmarkEnd w:id="39"/>
    </w:p>
    <w:p>
      <w:pPr>
        <w:spacing w:before="95" w:beforeLines="30" w:after="95" w:afterLines="30" w:line="440" w:lineRule="exact"/>
        <w:jc w:val="center"/>
        <w:outlineLvl w:val="1"/>
        <w:rPr>
          <w:rFonts w:ascii="宋体" w:hAnsi="宋体" w:cs="宋体"/>
          <w:b/>
          <w:bCs/>
          <w:color w:val="auto"/>
          <w:sz w:val="24"/>
          <w:szCs w:val="24"/>
        </w:rPr>
      </w:pPr>
      <w:bookmarkStart w:id="40" w:name="_Toc515"/>
      <w:r>
        <w:rPr>
          <w:rFonts w:hint="eastAsia" w:ascii="宋体" w:hAnsi="宋体" w:cs="宋体"/>
          <w:b/>
          <w:bCs/>
          <w:color w:val="auto"/>
          <w:sz w:val="24"/>
          <w:szCs w:val="24"/>
        </w:rPr>
        <w:t>一、总  则</w:t>
      </w:r>
      <w:bookmarkEnd w:id="40"/>
    </w:p>
    <w:p>
      <w:pPr>
        <w:keepNext w:val="0"/>
        <w:keepLines w:val="0"/>
        <w:pageBreakBefore w:val="0"/>
        <w:widowControl w:val="0"/>
        <w:kinsoku/>
        <w:wordWrap/>
        <w:overflowPunct/>
        <w:topLinePunct w:val="0"/>
        <w:autoSpaceDE/>
        <w:autoSpaceDN/>
        <w:bidi w:val="0"/>
        <w:adjustRightInd/>
        <w:snapToGrid/>
        <w:spacing w:line="440" w:lineRule="exact"/>
        <w:jc w:val="both"/>
        <w:textAlignment w:val="auto"/>
        <w:outlineLvl w:val="2"/>
        <w:rPr>
          <w:rFonts w:ascii="宋体" w:hAnsi="宋体" w:cs="宋体"/>
          <w:color w:val="auto"/>
          <w:sz w:val="24"/>
          <w:szCs w:val="24"/>
        </w:rPr>
      </w:pPr>
      <w:r>
        <w:rPr>
          <w:rFonts w:hint="eastAsia" w:ascii="宋体" w:hAnsi="宋体" w:cs="宋体"/>
          <w:color w:val="auto"/>
          <w:sz w:val="24"/>
          <w:szCs w:val="24"/>
        </w:rPr>
        <w:t>1.工程概况</w:t>
      </w:r>
    </w:p>
    <w:p>
      <w:pPr>
        <w:keepNext w:val="0"/>
        <w:keepLines w:val="0"/>
        <w:pageBreakBefore w:val="0"/>
        <w:widowControl w:val="0"/>
        <w:kinsoku/>
        <w:wordWrap/>
        <w:overflowPunct/>
        <w:topLinePunct w:val="0"/>
        <w:autoSpaceDE/>
        <w:autoSpaceDN/>
        <w:bidi w:val="0"/>
        <w:adjustRightInd/>
        <w:snapToGrid/>
        <w:spacing w:line="440" w:lineRule="exact"/>
        <w:ind w:left="2625" w:hanging="3000" w:hangingChars="1250"/>
        <w:jc w:val="both"/>
        <w:textAlignment w:val="auto"/>
        <w:rPr>
          <w:rFonts w:hint="eastAsia" w:ascii="宋体" w:hAnsi="宋体" w:eastAsia="宋体" w:cs="宋体"/>
          <w:color w:val="auto"/>
          <w:sz w:val="24"/>
          <w:szCs w:val="24"/>
          <w:lang w:eastAsia="zh-CN"/>
        </w:rPr>
      </w:pPr>
      <w:r>
        <w:rPr>
          <w:rFonts w:hint="eastAsia" w:ascii="宋体" w:hAnsi="宋体" w:cs="宋体"/>
          <w:color w:val="auto"/>
          <w:sz w:val="24"/>
          <w:szCs w:val="24"/>
        </w:rPr>
        <w:t>1.1本次招标工程名称：</w:t>
      </w:r>
      <w:r>
        <w:rPr>
          <w:rFonts w:hint="eastAsia" w:ascii="宋体" w:hAnsi="宋体" w:cs="宋体"/>
          <w:color w:val="auto"/>
          <w:sz w:val="24"/>
          <w:szCs w:val="24"/>
          <w:lang w:eastAsia="zh-CN"/>
        </w:rPr>
        <w:t>滁州市区公共领域车辆电动化基础设施——低速新能源车充电设施项目跟踪审计</w:t>
      </w: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hint="eastAsia" w:ascii="宋体" w:hAnsi="宋体" w:eastAsia="宋体" w:cs="宋体"/>
          <w:color w:val="auto"/>
          <w:sz w:val="24"/>
          <w:szCs w:val="24"/>
          <w:lang w:eastAsia="zh-CN"/>
        </w:rPr>
      </w:pPr>
      <w:r>
        <w:rPr>
          <w:rFonts w:hint="eastAsia" w:ascii="宋体" w:hAnsi="宋体" w:cs="宋体"/>
          <w:color w:val="auto"/>
          <w:sz w:val="24"/>
          <w:szCs w:val="24"/>
        </w:rPr>
        <w:t>工程地址：</w:t>
      </w:r>
      <w:r>
        <w:rPr>
          <w:rFonts w:hint="eastAsia" w:ascii="宋体" w:hAnsi="宋体" w:cs="宋体"/>
          <w:color w:val="auto"/>
          <w:sz w:val="24"/>
          <w:szCs w:val="24"/>
          <w:lang w:val="en-US" w:eastAsia="zh-CN"/>
        </w:rPr>
        <w:t>滁州市</w:t>
      </w: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ascii="宋体" w:hAnsi="宋体" w:cs="宋体"/>
          <w:color w:val="auto"/>
          <w:sz w:val="24"/>
          <w:szCs w:val="24"/>
        </w:rPr>
      </w:pPr>
      <w:r>
        <w:rPr>
          <w:rFonts w:hint="eastAsia" w:ascii="宋体" w:hAnsi="宋体" w:cs="宋体"/>
          <w:color w:val="auto"/>
          <w:sz w:val="24"/>
          <w:szCs w:val="24"/>
        </w:rPr>
        <w:t>建设单位：</w:t>
      </w:r>
      <w:r>
        <w:rPr>
          <w:rFonts w:hint="eastAsia" w:ascii="宋体" w:hAnsi="宋体" w:cs="宋体"/>
          <w:color w:val="auto"/>
          <w:sz w:val="24"/>
          <w:szCs w:val="24"/>
          <w:lang w:eastAsia="zh-CN"/>
        </w:rPr>
        <w:t>滁州工投新能源开发有限公司</w:t>
      </w:r>
      <w:r>
        <w:rPr>
          <w:rFonts w:hint="eastAsia" w:ascii="宋体" w:hAnsi="宋体" w:cs="宋体"/>
          <w:color w:val="auto"/>
          <w:sz w:val="24"/>
          <w:szCs w:val="24"/>
        </w:rPr>
        <w:t xml:space="preserve"> </w:t>
      </w:r>
    </w:p>
    <w:p>
      <w:pPr>
        <w:keepNext w:val="0"/>
        <w:keepLines w:val="0"/>
        <w:pageBreakBefore w:val="0"/>
        <w:widowControl w:val="0"/>
        <w:kinsoku/>
        <w:wordWrap/>
        <w:overflowPunct/>
        <w:topLinePunct w:val="0"/>
        <w:autoSpaceDE/>
        <w:autoSpaceDN/>
        <w:bidi w:val="0"/>
        <w:adjustRightInd/>
        <w:snapToGrid/>
        <w:spacing w:line="440" w:lineRule="exact"/>
        <w:ind w:left="2205" w:hanging="2520" w:hangingChars="1050"/>
        <w:textAlignment w:val="auto"/>
        <w:rPr>
          <w:rFonts w:ascii="宋体" w:hAnsi="宋体" w:cs="宋体"/>
          <w:color w:val="auto"/>
          <w:sz w:val="24"/>
          <w:szCs w:val="24"/>
        </w:rPr>
      </w:pPr>
      <w:r>
        <w:rPr>
          <w:rFonts w:hint="eastAsia" w:ascii="宋体" w:hAnsi="宋体" w:cs="宋体"/>
          <w:color w:val="auto"/>
          <w:sz w:val="24"/>
          <w:szCs w:val="24"/>
        </w:rPr>
        <w:t>1.2本工程建设规模：总投资约</w:t>
      </w:r>
      <w:r>
        <w:rPr>
          <w:rFonts w:hint="eastAsia" w:ascii="宋体" w:hAnsi="宋体" w:cs="宋体"/>
          <w:color w:val="auto"/>
          <w:sz w:val="24"/>
          <w:szCs w:val="24"/>
          <w:lang w:val="en-US" w:eastAsia="zh-CN"/>
        </w:rPr>
        <w:t>2800万</w:t>
      </w:r>
      <w:r>
        <w:rPr>
          <w:rFonts w:hint="eastAsia" w:ascii="宋体" w:hAnsi="宋体" w:cs="宋体"/>
          <w:color w:val="auto"/>
          <w:sz w:val="24"/>
          <w:szCs w:val="24"/>
        </w:rPr>
        <w:t>元。</w:t>
      </w:r>
      <w:r>
        <w:rPr>
          <w:rFonts w:hint="eastAsia" w:ascii="宋体" w:hAnsi="宋体" w:cs="宋体"/>
          <w:color w:val="auto"/>
          <w:kern w:val="0"/>
          <w:sz w:val="24"/>
          <w:szCs w:val="24"/>
        </w:rPr>
        <w:t xml:space="preserve"> </w:t>
      </w: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outlineLvl w:val="2"/>
        <w:rPr>
          <w:rFonts w:ascii="宋体" w:hAnsi="宋体" w:cs="宋体"/>
          <w:color w:val="auto"/>
          <w:sz w:val="24"/>
          <w:szCs w:val="24"/>
        </w:rPr>
      </w:pPr>
      <w:r>
        <w:rPr>
          <w:rFonts w:hint="eastAsia" w:ascii="宋体" w:hAnsi="宋体" w:cs="宋体"/>
          <w:color w:val="auto"/>
          <w:sz w:val="24"/>
          <w:szCs w:val="24"/>
        </w:rPr>
        <w:t>2. 招标范围</w:t>
      </w: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outlineLvl w:val="2"/>
        <w:rPr>
          <w:rFonts w:ascii="宋体"/>
          <w:color w:val="auto"/>
          <w:sz w:val="24"/>
          <w:szCs w:val="24"/>
        </w:rPr>
      </w:pPr>
      <w:r>
        <w:rPr>
          <w:rFonts w:hint="eastAsia" w:ascii="宋体"/>
          <w:color w:val="auto"/>
          <w:sz w:val="24"/>
          <w:szCs w:val="24"/>
        </w:rPr>
        <w:t>见投标人须知前附表</w:t>
      </w: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outlineLvl w:val="2"/>
        <w:rPr>
          <w:rFonts w:ascii="宋体" w:hAnsi="宋体" w:cs="宋体"/>
          <w:color w:val="auto"/>
          <w:sz w:val="24"/>
          <w:szCs w:val="24"/>
        </w:rPr>
      </w:pPr>
      <w:r>
        <w:rPr>
          <w:rFonts w:hint="eastAsia" w:ascii="宋体" w:hAnsi="宋体" w:cs="宋体"/>
          <w:color w:val="auto"/>
          <w:sz w:val="24"/>
          <w:szCs w:val="24"/>
        </w:rPr>
        <w:t>3.承包方式</w:t>
      </w: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ascii="宋体" w:hAnsi="宋体" w:cs="宋体"/>
          <w:color w:val="auto"/>
          <w:sz w:val="24"/>
          <w:szCs w:val="24"/>
        </w:rPr>
      </w:pPr>
      <w:r>
        <w:rPr>
          <w:rFonts w:hint="eastAsia" w:ascii="宋体" w:hAnsi="宋体" w:cs="宋体"/>
          <w:color w:val="auto"/>
          <w:sz w:val="24"/>
          <w:szCs w:val="24"/>
        </w:rPr>
        <w:t>3.1承包方式：</w:t>
      </w:r>
      <w:r>
        <w:rPr>
          <w:rFonts w:hint="eastAsia" w:ascii="宋体" w:hAnsi="宋体" w:cs="宋体"/>
          <w:color w:val="auto"/>
          <w:sz w:val="24"/>
          <w:szCs w:val="24"/>
          <w:u w:val="single"/>
        </w:rPr>
        <w:t xml:space="preserve">总承包 </w:t>
      </w:r>
      <w:r>
        <w:rPr>
          <w:rFonts w:hint="eastAsia" w:ascii="宋体" w:hAnsi="宋体" w:cs="宋体"/>
          <w:color w:val="auto"/>
          <w:sz w:val="24"/>
          <w:szCs w:val="24"/>
        </w:rPr>
        <w:t>。</w:t>
      </w: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outlineLvl w:val="2"/>
        <w:rPr>
          <w:rFonts w:ascii="宋体" w:hAnsi="宋体" w:cs="宋体"/>
          <w:color w:val="auto"/>
          <w:sz w:val="24"/>
          <w:szCs w:val="24"/>
        </w:rPr>
      </w:pPr>
      <w:r>
        <w:rPr>
          <w:rFonts w:hint="eastAsia" w:ascii="宋体" w:hAnsi="宋体" w:cs="宋体"/>
          <w:color w:val="auto"/>
          <w:sz w:val="24"/>
          <w:szCs w:val="24"/>
        </w:rPr>
        <w:t>4.工期要求</w:t>
      </w:r>
    </w:p>
    <w:p>
      <w:pPr>
        <w:keepNext w:val="0"/>
        <w:keepLines w:val="0"/>
        <w:pageBreakBefore w:val="0"/>
        <w:widowControl w:val="0"/>
        <w:kinsoku/>
        <w:wordWrap/>
        <w:overflowPunct/>
        <w:topLinePunct w:val="0"/>
        <w:autoSpaceDE/>
        <w:autoSpaceDN/>
        <w:bidi w:val="0"/>
        <w:adjustRightInd/>
        <w:snapToGrid/>
        <w:spacing w:line="440" w:lineRule="exact"/>
        <w:textAlignment w:val="auto"/>
        <w:outlineLvl w:val="2"/>
        <w:rPr>
          <w:rFonts w:ascii="宋体"/>
          <w:color w:val="auto"/>
          <w:sz w:val="24"/>
          <w:szCs w:val="24"/>
        </w:rPr>
      </w:pPr>
      <w:r>
        <w:rPr>
          <w:rFonts w:hint="eastAsia" w:ascii="宋体"/>
          <w:color w:val="auto"/>
          <w:sz w:val="24"/>
          <w:szCs w:val="24"/>
        </w:rPr>
        <w:t>见投标人须知前附表</w:t>
      </w:r>
    </w:p>
    <w:p>
      <w:pPr>
        <w:keepNext w:val="0"/>
        <w:keepLines w:val="0"/>
        <w:pageBreakBefore w:val="0"/>
        <w:widowControl w:val="0"/>
        <w:kinsoku/>
        <w:wordWrap/>
        <w:overflowPunct/>
        <w:topLinePunct w:val="0"/>
        <w:autoSpaceDE/>
        <w:autoSpaceDN/>
        <w:bidi w:val="0"/>
        <w:adjustRightInd/>
        <w:snapToGrid/>
        <w:spacing w:line="440" w:lineRule="exact"/>
        <w:textAlignment w:val="auto"/>
        <w:outlineLvl w:val="2"/>
        <w:rPr>
          <w:rFonts w:ascii="宋体" w:hAnsi="宋体" w:cs="宋体"/>
          <w:color w:val="auto"/>
          <w:sz w:val="24"/>
          <w:szCs w:val="24"/>
        </w:rPr>
      </w:pPr>
      <w:r>
        <w:rPr>
          <w:rFonts w:hint="eastAsia" w:ascii="宋体" w:hAnsi="宋体" w:cs="宋体"/>
          <w:color w:val="auto"/>
          <w:sz w:val="24"/>
          <w:szCs w:val="24"/>
        </w:rPr>
        <w:t>5.质量要求</w:t>
      </w: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outlineLvl w:val="2"/>
        <w:rPr>
          <w:rFonts w:ascii="宋体"/>
          <w:color w:val="auto"/>
          <w:sz w:val="24"/>
          <w:szCs w:val="24"/>
        </w:rPr>
      </w:pPr>
      <w:r>
        <w:rPr>
          <w:rFonts w:hint="eastAsia" w:ascii="宋体"/>
          <w:color w:val="auto"/>
          <w:sz w:val="24"/>
          <w:szCs w:val="24"/>
        </w:rPr>
        <w:t>见投标人须知前附表</w:t>
      </w: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outlineLvl w:val="2"/>
        <w:rPr>
          <w:rFonts w:ascii="宋体" w:hAnsi="宋体" w:cs="宋体"/>
          <w:color w:val="auto"/>
          <w:sz w:val="24"/>
          <w:szCs w:val="24"/>
        </w:rPr>
      </w:pPr>
      <w:r>
        <w:rPr>
          <w:rFonts w:hint="eastAsia" w:ascii="宋体" w:hAnsi="宋体" w:cs="宋体"/>
          <w:color w:val="auto"/>
          <w:sz w:val="24"/>
          <w:szCs w:val="24"/>
        </w:rPr>
        <w:t>6.投标人资质等级要求</w:t>
      </w: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outlineLvl w:val="2"/>
        <w:rPr>
          <w:rFonts w:ascii="宋体"/>
          <w:color w:val="auto"/>
          <w:sz w:val="24"/>
          <w:szCs w:val="24"/>
        </w:rPr>
      </w:pPr>
      <w:r>
        <w:rPr>
          <w:rFonts w:hint="eastAsia" w:ascii="宋体"/>
          <w:color w:val="auto"/>
          <w:sz w:val="24"/>
          <w:szCs w:val="24"/>
        </w:rPr>
        <w:t>见投标人须知前附表</w:t>
      </w: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outlineLvl w:val="2"/>
        <w:rPr>
          <w:rFonts w:ascii="宋体" w:hAnsi="宋体" w:cs="宋体"/>
          <w:color w:val="auto"/>
          <w:sz w:val="24"/>
          <w:szCs w:val="24"/>
        </w:rPr>
      </w:pPr>
      <w:r>
        <w:rPr>
          <w:rFonts w:hint="eastAsia" w:ascii="宋体" w:hAnsi="宋体" w:cs="宋体"/>
          <w:color w:val="auto"/>
          <w:sz w:val="24"/>
          <w:szCs w:val="24"/>
        </w:rPr>
        <w:t>7.资金来源</w:t>
      </w: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ascii="宋体" w:hAnsi="宋体" w:cs="宋体"/>
          <w:color w:val="auto"/>
          <w:sz w:val="24"/>
          <w:szCs w:val="24"/>
          <w:u w:val="single"/>
        </w:rPr>
      </w:pPr>
      <w:r>
        <w:rPr>
          <w:rFonts w:hint="eastAsia" w:ascii="宋体" w:hAnsi="宋体" w:cs="宋体"/>
          <w:color w:val="auto"/>
          <w:sz w:val="24"/>
          <w:szCs w:val="24"/>
        </w:rPr>
        <w:t>7.1资金来源：</w:t>
      </w:r>
      <w:r>
        <w:rPr>
          <w:rFonts w:hint="eastAsia" w:ascii="宋体" w:hAnsi="宋体" w:cs="宋体"/>
          <w:color w:val="auto"/>
          <w:sz w:val="24"/>
          <w:szCs w:val="24"/>
          <w:u w:val="single"/>
        </w:rPr>
        <w:t xml:space="preserve"> 自筹资金 </w:t>
      </w:r>
      <w:r>
        <w:rPr>
          <w:rFonts w:hint="eastAsia" w:ascii="宋体" w:hAnsi="宋体" w:cs="宋体"/>
          <w:color w:val="auto"/>
          <w:sz w:val="24"/>
          <w:szCs w:val="24"/>
        </w:rPr>
        <w:t>；资金已落实。</w:t>
      </w: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outlineLvl w:val="2"/>
        <w:rPr>
          <w:rFonts w:ascii="宋体" w:hAnsi="宋体" w:cs="宋体"/>
          <w:color w:val="auto"/>
          <w:sz w:val="24"/>
          <w:szCs w:val="24"/>
        </w:rPr>
      </w:pPr>
      <w:r>
        <w:rPr>
          <w:rFonts w:hint="eastAsia" w:ascii="宋体" w:hAnsi="宋体" w:cs="宋体"/>
          <w:color w:val="auto"/>
          <w:sz w:val="24"/>
          <w:szCs w:val="24"/>
        </w:rPr>
        <w:t>8.标段划分</w:t>
      </w:r>
    </w:p>
    <w:p>
      <w:pPr>
        <w:keepNext w:val="0"/>
        <w:keepLines w:val="0"/>
        <w:pageBreakBefore w:val="0"/>
        <w:widowControl w:val="0"/>
        <w:kinsoku/>
        <w:wordWrap/>
        <w:overflowPunct/>
        <w:topLinePunct w:val="0"/>
        <w:autoSpaceDE/>
        <w:autoSpaceDN/>
        <w:bidi w:val="0"/>
        <w:adjustRightInd/>
        <w:snapToGrid/>
        <w:spacing w:line="440" w:lineRule="exact"/>
        <w:ind w:right="-155" w:rightChars="-74"/>
        <w:jc w:val="left"/>
        <w:textAlignment w:val="auto"/>
        <w:rPr>
          <w:rFonts w:ascii="宋体" w:hAnsi="宋体" w:cs="宋体"/>
          <w:color w:val="auto"/>
          <w:sz w:val="24"/>
          <w:szCs w:val="24"/>
        </w:rPr>
      </w:pPr>
      <w:r>
        <w:rPr>
          <w:rFonts w:hint="eastAsia" w:ascii="宋体" w:hAnsi="宋体" w:cs="宋体"/>
          <w:color w:val="auto"/>
          <w:sz w:val="24"/>
          <w:szCs w:val="24"/>
        </w:rPr>
        <w:t>8.1该工程划分：</w:t>
      </w:r>
      <w:r>
        <w:rPr>
          <w:rFonts w:hint="eastAsia" w:ascii="宋体" w:hAnsi="宋体" w:cs="宋体"/>
          <w:color w:val="auto"/>
          <w:sz w:val="24"/>
          <w:szCs w:val="24"/>
          <w:u w:val="single"/>
        </w:rPr>
        <w:t xml:space="preserve"> 一 </w:t>
      </w:r>
      <w:r>
        <w:rPr>
          <w:rFonts w:hint="eastAsia" w:ascii="宋体" w:hAnsi="宋体" w:cs="宋体"/>
          <w:color w:val="auto"/>
          <w:sz w:val="24"/>
          <w:szCs w:val="24"/>
        </w:rPr>
        <w:t xml:space="preserve">个标段  </w:t>
      </w: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outlineLvl w:val="2"/>
        <w:rPr>
          <w:rFonts w:ascii="宋体" w:hAnsi="宋体" w:cs="宋体"/>
          <w:color w:val="auto"/>
          <w:sz w:val="24"/>
          <w:szCs w:val="24"/>
        </w:rPr>
      </w:pPr>
      <w:r>
        <w:rPr>
          <w:rFonts w:hint="eastAsia" w:ascii="宋体" w:hAnsi="宋体" w:cs="宋体"/>
          <w:color w:val="auto"/>
          <w:sz w:val="24"/>
          <w:szCs w:val="24"/>
        </w:rPr>
        <w:t>9.招标方式</w:t>
      </w: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ascii="宋体" w:hAnsi="宋体" w:cs="宋体"/>
          <w:color w:val="auto"/>
          <w:sz w:val="24"/>
          <w:szCs w:val="24"/>
        </w:rPr>
      </w:pPr>
      <w:r>
        <w:rPr>
          <w:rFonts w:hint="eastAsia" w:ascii="宋体" w:hAnsi="宋体" w:cs="宋体"/>
          <w:color w:val="auto"/>
          <w:sz w:val="24"/>
          <w:szCs w:val="24"/>
        </w:rPr>
        <w:t>9.1本工程招标方式：</w:t>
      </w:r>
      <w:r>
        <w:rPr>
          <w:rFonts w:hint="eastAsia" w:ascii="宋体" w:hAnsi="宋体" w:cs="宋体"/>
          <w:color w:val="auto"/>
          <w:sz w:val="24"/>
          <w:szCs w:val="24"/>
          <w:u w:val="single"/>
        </w:rPr>
        <w:t xml:space="preserve"> 自行招标 </w:t>
      </w:r>
      <w:r>
        <w:rPr>
          <w:rFonts w:hint="eastAsia" w:ascii="宋体" w:hAnsi="宋体" w:cs="宋体"/>
          <w:color w:val="auto"/>
          <w:sz w:val="24"/>
          <w:szCs w:val="24"/>
        </w:rPr>
        <w:t>。</w:t>
      </w: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outlineLvl w:val="2"/>
        <w:rPr>
          <w:rFonts w:ascii="宋体" w:hAnsi="宋体" w:cs="宋体"/>
          <w:color w:val="auto"/>
          <w:sz w:val="24"/>
          <w:szCs w:val="24"/>
        </w:rPr>
      </w:pPr>
      <w:r>
        <w:rPr>
          <w:rFonts w:hint="eastAsia" w:ascii="宋体" w:hAnsi="宋体" w:cs="宋体"/>
          <w:color w:val="auto"/>
          <w:sz w:val="24"/>
          <w:szCs w:val="24"/>
        </w:rPr>
        <w:t>10.计价方式</w:t>
      </w: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ascii="宋体" w:hAnsi="宋体" w:cs="宋体"/>
          <w:color w:val="auto"/>
          <w:sz w:val="24"/>
          <w:szCs w:val="24"/>
        </w:rPr>
      </w:pPr>
      <w:r>
        <w:rPr>
          <w:rFonts w:hint="eastAsia" w:ascii="宋体" w:hAnsi="宋体" w:cs="宋体"/>
          <w:color w:val="auto"/>
          <w:sz w:val="24"/>
          <w:szCs w:val="24"/>
        </w:rPr>
        <w:t>10.1本工程合同计价方式：</w:t>
      </w:r>
      <w:r>
        <w:rPr>
          <w:rFonts w:hint="eastAsia" w:ascii="宋体" w:hAnsi="宋体" w:cs="宋体"/>
          <w:color w:val="auto"/>
          <w:sz w:val="24"/>
          <w:szCs w:val="24"/>
          <w:u w:val="single"/>
        </w:rPr>
        <w:t xml:space="preserve">  固定</w:t>
      </w:r>
      <w:r>
        <w:rPr>
          <w:rFonts w:hint="eastAsia" w:ascii="宋体" w:hAnsi="宋体" w:cs="宋体"/>
          <w:color w:val="auto"/>
          <w:sz w:val="24"/>
          <w:szCs w:val="24"/>
          <w:u w:val="single"/>
          <w:lang w:val="en-US" w:eastAsia="zh-CN"/>
        </w:rPr>
        <w:t>费率</w:t>
      </w:r>
      <w:r>
        <w:rPr>
          <w:rFonts w:hint="eastAsia" w:ascii="宋体" w:hAnsi="宋体" w:cs="宋体"/>
          <w:color w:val="auto"/>
          <w:sz w:val="24"/>
          <w:szCs w:val="24"/>
          <w:u w:val="single"/>
        </w:rPr>
        <w:t xml:space="preserve"> </w:t>
      </w:r>
      <w:r>
        <w:rPr>
          <w:rFonts w:hint="eastAsia" w:ascii="宋体" w:hAnsi="宋体" w:cs="宋体"/>
          <w:color w:val="auto"/>
          <w:sz w:val="24"/>
          <w:szCs w:val="24"/>
        </w:rPr>
        <w:t>。</w:t>
      </w: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outlineLvl w:val="2"/>
        <w:rPr>
          <w:rFonts w:ascii="宋体" w:hAnsi="宋体" w:cs="宋体"/>
          <w:color w:val="auto"/>
          <w:sz w:val="24"/>
          <w:szCs w:val="24"/>
        </w:rPr>
      </w:pPr>
      <w:r>
        <w:rPr>
          <w:rFonts w:hint="eastAsia" w:ascii="宋体" w:hAnsi="宋体" w:cs="宋体"/>
          <w:color w:val="auto"/>
          <w:sz w:val="24"/>
          <w:szCs w:val="24"/>
        </w:rPr>
        <w:t>11.评标办法</w:t>
      </w: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ascii="宋体" w:hAnsi="宋体" w:cs="宋体"/>
          <w:color w:val="auto"/>
          <w:sz w:val="24"/>
          <w:szCs w:val="24"/>
        </w:rPr>
      </w:pPr>
      <w:r>
        <w:rPr>
          <w:rFonts w:hint="eastAsia" w:ascii="宋体" w:hAnsi="宋体" w:cs="宋体"/>
          <w:color w:val="auto"/>
          <w:sz w:val="24"/>
          <w:szCs w:val="24"/>
        </w:rPr>
        <w:t>11.1本工程评标办法：</w:t>
      </w:r>
      <w:r>
        <w:rPr>
          <w:rFonts w:hint="eastAsia" w:ascii="宋体" w:hAnsi="宋体" w:cs="宋体"/>
          <w:color w:val="auto"/>
          <w:sz w:val="24"/>
          <w:szCs w:val="24"/>
          <w:u w:val="single"/>
          <w:lang w:val="en-US" w:eastAsia="zh-CN"/>
        </w:rPr>
        <w:t>综合评估</w:t>
      </w:r>
      <w:r>
        <w:rPr>
          <w:rFonts w:hint="eastAsia" w:ascii="宋体" w:hAnsi="宋体" w:cs="宋体"/>
          <w:color w:val="auto"/>
          <w:sz w:val="24"/>
          <w:szCs w:val="24"/>
          <w:u w:val="single"/>
        </w:rPr>
        <w:t>法</w:t>
      </w:r>
      <w:r>
        <w:rPr>
          <w:rFonts w:hint="eastAsia" w:ascii="宋体" w:hAnsi="宋体" w:cs="宋体"/>
          <w:color w:val="auto"/>
          <w:sz w:val="24"/>
          <w:szCs w:val="24"/>
        </w:rPr>
        <w:t>。</w:t>
      </w:r>
    </w:p>
    <w:p>
      <w:pPr>
        <w:spacing w:before="95" w:beforeLines="30" w:after="95" w:afterLines="30" w:line="440" w:lineRule="exact"/>
        <w:jc w:val="center"/>
        <w:outlineLvl w:val="1"/>
        <w:rPr>
          <w:rFonts w:ascii="宋体" w:hAnsi="宋体" w:cs="宋体"/>
          <w:color w:val="auto"/>
        </w:rPr>
      </w:pPr>
      <w:bookmarkStart w:id="41" w:name="_Toc29988"/>
      <w:r>
        <w:rPr>
          <w:rFonts w:hint="eastAsia" w:ascii="宋体" w:hAnsi="宋体" w:cs="宋体"/>
          <w:b/>
          <w:bCs/>
          <w:color w:val="auto"/>
          <w:sz w:val="24"/>
          <w:szCs w:val="24"/>
        </w:rPr>
        <w:t>二、招标文件</w:t>
      </w:r>
      <w:bookmarkEnd w:id="41"/>
    </w:p>
    <w:p>
      <w:pPr>
        <w:spacing w:line="440" w:lineRule="exact"/>
        <w:jc w:val="left"/>
        <w:rPr>
          <w:rFonts w:hint="eastAsia" w:ascii="宋体" w:hAnsi="宋体" w:eastAsia="宋体" w:cs="宋体"/>
          <w:color w:val="auto"/>
          <w:sz w:val="24"/>
          <w:szCs w:val="24"/>
        </w:rPr>
      </w:pPr>
      <w:r>
        <w:rPr>
          <w:rFonts w:hint="eastAsia" w:ascii="宋体" w:hAnsi="宋体" w:eastAsia="宋体" w:cs="宋体"/>
          <w:color w:val="auto"/>
          <w:sz w:val="24"/>
          <w:szCs w:val="24"/>
        </w:rPr>
        <w:t>12. 招标文件的编制依据</w:t>
      </w:r>
    </w:p>
    <w:p>
      <w:pPr>
        <w:spacing w:line="440" w:lineRule="exact"/>
        <w:rPr>
          <w:rFonts w:hint="eastAsia" w:ascii="宋体" w:hAnsi="宋体" w:eastAsia="宋体" w:cs="宋体"/>
          <w:color w:val="auto"/>
          <w:sz w:val="24"/>
          <w:szCs w:val="24"/>
        </w:rPr>
      </w:pPr>
      <w:r>
        <w:rPr>
          <w:rFonts w:hint="eastAsia" w:ascii="宋体" w:hAnsi="宋体" w:eastAsia="宋体" w:cs="宋体"/>
          <w:color w:val="auto"/>
          <w:sz w:val="24"/>
          <w:szCs w:val="24"/>
        </w:rPr>
        <w:t>12.1根据《中华人民共和国招标投标法》、《工程建设项目施工招标投标办法》（七部委联合部令第30号）、《评标委员会和评标方法暂行规定》（七部委联合部令第12号）、《建设工程工程量清单计价规范》（GB50500-2013）、《安徽省建设工程工程量清单计价规范》（DBJ34/T-206-2005）和《滁州市工程量清单计价方式招标评标实施细则（试行）》等相关法律法规和规章及部、省、市级规范性文件的规定，编制本招标文件。</w:t>
      </w:r>
    </w:p>
    <w:p>
      <w:pPr>
        <w:spacing w:line="440" w:lineRule="exact"/>
        <w:jc w:val="left"/>
        <w:rPr>
          <w:rFonts w:hint="eastAsia" w:ascii="宋体" w:hAnsi="宋体" w:eastAsia="宋体" w:cs="宋体"/>
          <w:bCs/>
          <w:color w:val="auto"/>
          <w:sz w:val="24"/>
          <w:szCs w:val="24"/>
        </w:rPr>
      </w:pPr>
      <w:r>
        <w:rPr>
          <w:rFonts w:hint="eastAsia" w:ascii="宋体" w:hAnsi="宋体" w:eastAsia="宋体" w:cs="宋体"/>
          <w:color w:val="auto"/>
          <w:sz w:val="24"/>
          <w:szCs w:val="24"/>
        </w:rPr>
        <w:t>13.</w:t>
      </w:r>
      <w:r>
        <w:rPr>
          <w:rFonts w:hint="eastAsia" w:ascii="宋体" w:hAnsi="宋体" w:eastAsia="宋体" w:cs="宋体"/>
          <w:bCs/>
          <w:color w:val="auto"/>
          <w:sz w:val="24"/>
          <w:szCs w:val="24"/>
        </w:rPr>
        <w:t>招标文件的组成</w:t>
      </w:r>
    </w:p>
    <w:p>
      <w:pPr>
        <w:spacing w:line="440" w:lineRule="exact"/>
        <w:jc w:val="left"/>
        <w:rPr>
          <w:rFonts w:hint="eastAsia" w:ascii="宋体" w:hAnsi="宋体" w:eastAsia="宋体" w:cs="宋体"/>
          <w:color w:val="auto"/>
          <w:sz w:val="24"/>
          <w:szCs w:val="24"/>
        </w:rPr>
      </w:pPr>
      <w:r>
        <w:rPr>
          <w:rFonts w:hint="eastAsia" w:ascii="宋体" w:hAnsi="宋体" w:eastAsia="宋体" w:cs="宋体"/>
          <w:color w:val="auto"/>
          <w:sz w:val="24"/>
          <w:szCs w:val="24"/>
        </w:rPr>
        <w:t>13.1  招标文件包括内容：</w:t>
      </w:r>
    </w:p>
    <w:p>
      <w:pPr>
        <w:spacing w:line="440" w:lineRule="exact"/>
        <w:ind w:firstLine="1200" w:firstLineChars="500"/>
        <w:jc w:val="left"/>
        <w:rPr>
          <w:rFonts w:hint="eastAsia" w:ascii="宋体" w:hAnsi="宋体" w:eastAsia="宋体" w:cs="宋体"/>
          <w:color w:val="auto"/>
          <w:sz w:val="24"/>
          <w:szCs w:val="24"/>
        </w:rPr>
      </w:pPr>
      <w:r>
        <w:rPr>
          <w:rFonts w:hint="eastAsia" w:ascii="宋体" w:hAnsi="宋体" w:eastAsia="宋体" w:cs="宋体"/>
          <w:color w:val="auto"/>
          <w:sz w:val="24"/>
          <w:szCs w:val="24"/>
        </w:rPr>
        <w:t>第一章  投标须知</w:t>
      </w:r>
    </w:p>
    <w:p>
      <w:pPr>
        <w:spacing w:line="440" w:lineRule="exact"/>
        <w:ind w:firstLine="1200" w:firstLineChars="500"/>
        <w:jc w:val="left"/>
        <w:rPr>
          <w:rFonts w:hint="eastAsia" w:ascii="宋体" w:hAnsi="宋体" w:eastAsia="宋体" w:cs="宋体"/>
          <w:color w:val="auto"/>
          <w:sz w:val="24"/>
          <w:szCs w:val="24"/>
        </w:rPr>
      </w:pPr>
      <w:r>
        <w:rPr>
          <w:rFonts w:hint="eastAsia" w:ascii="宋体" w:hAnsi="宋体" w:eastAsia="宋体" w:cs="宋体"/>
          <w:color w:val="auto"/>
          <w:sz w:val="24"/>
          <w:szCs w:val="24"/>
        </w:rPr>
        <w:t>第二章  投标须知</w:t>
      </w:r>
    </w:p>
    <w:p>
      <w:pPr>
        <w:spacing w:line="440" w:lineRule="exact"/>
        <w:ind w:firstLine="1200" w:firstLineChars="500"/>
        <w:jc w:val="left"/>
        <w:rPr>
          <w:rFonts w:hint="eastAsia" w:ascii="宋体" w:hAnsi="宋体" w:eastAsia="宋体" w:cs="宋体"/>
          <w:color w:val="auto"/>
          <w:sz w:val="24"/>
          <w:szCs w:val="24"/>
        </w:rPr>
      </w:pPr>
      <w:r>
        <w:rPr>
          <w:rFonts w:hint="eastAsia" w:ascii="宋体" w:hAnsi="宋体" w:eastAsia="宋体" w:cs="宋体"/>
          <w:color w:val="auto"/>
          <w:sz w:val="24"/>
          <w:szCs w:val="24"/>
        </w:rPr>
        <w:t>第三章  合同条款</w:t>
      </w:r>
    </w:p>
    <w:p>
      <w:pPr>
        <w:spacing w:line="440" w:lineRule="exact"/>
        <w:ind w:firstLine="1200" w:firstLineChars="500"/>
        <w:jc w:val="left"/>
        <w:rPr>
          <w:rFonts w:hint="eastAsia" w:ascii="宋体" w:hAnsi="宋体" w:eastAsia="宋体" w:cs="宋体"/>
          <w:color w:val="auto"/>
          <w:sz w:val="24"/>
          <w:szCs w:val="24"/>
        </w:rPr>
      </w:pPr>
      <w:r>
        <w:rPr>
          <w:rFonts w:hint="eastAsia" w:ascii="宋体" w:hAnsi="宋体" w:eastAsia="宋体" w:cs="宋体"/>
          <w:color w:val="auto"/>
          <w:sz w:val="24"/>
          <w:szCs w:val="24"/>
        </w:rPr>
        <w:t>第四章  技术标准和要求</w:t>
      </w:r>
    </w:p>
    <w:p>
      <w:pPr>
        <w:spacing w:line="440" w:lineRule="exact"/>
        <w:ind w:firstLine="1200" w:firstLineChars="500"/>
        <w:jc w:val="left"/>
        <w:rPr>
          <w:rFonts w:hint="eastAsia" w:ascii="宋体" w:hAnsi="宋体" w:eastAsia="宋体" w:cs="宋体"/>
          <w:color w:val="auto"/>
          <w:sz w:val="24"/>
          <w:szCs w:val="24"/>
        </w:rPr>
      </w:pPr>
      <w:r>
        <w:rPr>
          <w:rFonts w:hint="eastAsia" w:ascii="宋体" w:hAnsi="宋体" w:eastAsia="宋体" w:cs="宋体"/>
          <w:color w:val="auto"/>
          <w:sz w:val="24"/>
          <w:szCs w:val="24"/>
        </w:rPr>
        <w:t>第五章  投标文件格式</w:t>
      </w:r>
    </w:p>
    <w:p>
      <w:pPr>
        <w:adjustRightInd w:val="0"/>
        <w:snapToGrid w:val="0"/>
        <w:spacing w:line="440" w:lineRule="exact"/>
        <w:ind w:firstLine="1200" w:firstLineChars="500"/>
        <w:rPr>
          <w:rFonts w:hint="eastAsia" w:ascii="宋体" w:hAnsi="宋体" w:eastAsia="宋体" w:cs="宋体"/>
          <w:color w:val="auto"/>
          <w:spacing w:val="-20"/>
          <w:sz w:val="24"/>
          <w:szCs w:val="24"/>
        </w:rPr>
      </w:pPr>
      <w:r>
        <w:rPr>
          <w:rFonts w:hint="eastAsia" w:ascii="宋体" w:hAnsi="宋体" w:eastAsia="宋体" w:cs="宋体"/>
          <w:color w:val="auto"/>
          <w:sz w:val="24"/>
          <w:szCs w:val="24"/>
        </w:rPr>
        <w:t>第六章  招标单位、招标代理机构对本招标文件的确认</w:t>
      </w:r>
    </w:p>
    <w:p>
      <w:pPr>
        <w:spacing w:line="440" w:lineRule="exact"/>
        <w:jc w:val="left"/>
        <w:rPr>
          <w:rFonts w:hint="eastAsia" w:ascii="宋体" w:hAnsi="宋体" w:eastAsia="宋体" w:cs="宋体"/>
          <w:color w:val="auto"/>
          <w:sz w:val="24"/>
          <w:szCs w:val="24"/>
        </w:rPr>
      </w:pPr>
      <w:r>
        <w:rPr>
          <w:rFonts w:hint="eastAsia" w:ascii="宋体" w:hAnsi="宋体" w:eastAsia="宋体" w:cs="宋体"/>
          <w:color w:val="auto"/>
          <w:sz w:val="24"/>
          <w:szCs w:val="24"/>
        </w:rPr>
        <w:t>13.2除13.1内容外，招标答疑亦为招标文件的组成部分，对招标人和投标人起约束作用。</w:t>
      </w:r>
    </w:p>
    <w:p>
      <w:pPr>
        <w:spacing w:line="440" w:lineRule="exact"/>
        <w:jc w:val="left"/>
        <w:rPr>
          <w:rFonts w:hint="eastAsia" w:ascii="宋体" w:hAnsi="宋体" w:eastAsia="宋体" w:cs="宋体"/>
          <w:color w:val="auto"/>
          <w:sz w:val="24"/>
          <w:szCs w:val="24"/>
        </w:rPr>
      </w:pPr>
      <w:r>
        <w:rPr>
          <w:rFonts w:hint="eastAsia" w:ascii="宋体" w:hAnsi="宋体" w:eastAsia="宋体" w:cs="宋体"/>
          <w:color w:val="auto"/>
          <w:sz w:val="24"/>
          <w:szCs w:val="24"/>
        </w:rPr>
        <w:t>13.3投标人应仔细检查招标文件的所有内容，</w:t>
      </w:r>
      <w:r>
        <w:rPr>
          <w:rFonts w:hint="eastAsia" w:ascii="宋体" w:hAnsi="宋体" w:eastAsia="宋体" w:cs="宋体"/>
          <w:bCs/>
          <w:color w:val="auto"/>
          <w:sz w:val="24"/>
          <w:szCs w:val="24"/>
        </w:rPr>
        <w:t>如有残缺等问题应在</w:t>
      </w:r>
      <w:r>
        <w:rPr>
          <w:rFonts w:hint="eastAsia" w:ascii="宋体" w:hAnsi="宋体" w:eastAsia="宋体" w:cs="宋体"/>
          <w:b/>
          <w:color w:val="auto"/>
          <w:sz w:val="24"/>
          <w:szCs w:val="24"/>
        </w:rPr>
        <w:t>202</w:t>
      </w:r>
      <w:r>
        <w:rPr>
          <w:rFonts w:hint="eastAsia" w:ascii="宋体" w:hAnsi="宋体" w:eastAsia="宋体" w:cs="宋体"/>
          <w:b/>
          <w:color w:val="auto"/>
          <w:sz w:val="24"/>
          <w:szCs w:val="24"/>
          <w:lang w:val="en-US" w:eastAsia="zh-CN"/>
        </w:rPr>
        <w:t>3</w:t>
      </w:r>
      <w:r>
        <w:rPr>
          <w:rFonts w:hint="eastAsia" w:ascii="宋体" w:hAnsi="宋体" w:eastAsia="宋体" w:cs="宋体"/>
          <w:b/>
          <w:color w:val="auto"/>
          <w:sz w:val="24"/>
          <w:szCs w:val="24"/>
        </w:rPr>
        <w:t>年</w:t>
      </w:r>
      <w:r>
        <w:rPr>
          <w:rFonts w:hint="eastAsia" w:ascii="宋体" w:hAnsi="宋体" w:eastAsia="宋体" w:cs="宋体"/>
          <w:b/>
          <w:color w:val="auto"/>
          <w:sz w:val="24"/>
          <w:szCs w:val="24"/>
          <w:lang w:val="en-US" w:eastAsia="zh-CN"/>
        </w:rPr>
        <w:t>3</w:t>
      </w:r>
      <w:r>
        <w:rPr>
          <w:rFonts w:hint="eastAsia" w:ascii="宋体" w:hAnsi="宋体" w:eastAsia="宋体" w:cs="宋体"/>
          <w:b/>
          <w:color w:val="auto"/>
          <w:sz w:val="24"/>
          <w:szCs w:val="24"/>
        </w:rPr>
        <w:t>月</w:t>
      </w:r>
      <w:r>
        <w:rPr>
          <w:rFonts w:hint="eastAsia" w:ascii="宋体" w:hAnsi="宋体" w:cs="宋体"/>
          <w:b/>
          <w:color w:val="auto"/>
          <w:sz w:val="24"/>
          <w:szCs w:val="24"/>
          <w:lang w:val="en-US" w:eastAsia="zh-CN"/>
        </w:rPr>
        <w:t>28</w:t>
      </w:r>
      <w:r>
        <w:rPr>
          <w:rFonts w:hint="eastAsia" w:ascii="宋体" w:hAnsi="宋体" w:eastAsia="宋体" w:cs="宋体"/>
          <w:b/>
          <w:color w:val="auto"/>
          <w:sz w:val="24"/>
          <w:szCs w:val="24"/>
        </w:rPr>
        <w:t>日12时前</w:t>
      </w:r>
      <w:r>
        <w:rPr>
          <w:rFonts w:hint="eastAsia" w:ascii="宋体" w:hAnsi="宋体" w:eastAsia="宋体" w:cs="宋体"/>
          <w:bCs/>
          <w:color w:val="auto"/>
          <w:sz w:val="24"/>
          <w:szCs w:val="24"/>
        </w:rPr>
        <w:t>投标人将所遇到的问题以电子邮件形式传czsctgczx@163.com滁州市城投工程咨询管理有限公司电子邮箱</w:t>
      </w:r>
      <w:r>
        <w:rPr>
          <w:rFonts w:hint="eastAsia" w:ascii="宋体" w:hAnsi="宋体" w:eastAsia="宋体" w:cs="宋体"/>
          <w:color w:val="auto"/>
          <w:kern w:val="0"/>
          <w:sz w:val="24"/>
          <w:szCs w:val="24"/>
        </w:rPr>
        <w:t>，</w:t>
      </w:r>
      <w:r>
        <w:rPr>
          <w:rFonts w:hint="eastAsia" w:ascii="宋体" w:hAnsi="宋体" w:eastAsia="宋体" w:cs="宋体"/>
          <w:color w:val="auto"/>
          <w:kern w:val="0"/>
          <w:sz w:val="24"/>
          <w:szCs w:val="24"/>
          <w:lang w:val="zh-CN"/>
        </w:rPr>
        <w:t>否则</w:t>
      </w:r>
      <w:r>
        <w:rPr>
          <w:rFonts w:hint="eastAsia" w:ascii="宋体" w:hAnsi="宋体" w:eastAsia="宋体" w:cs="宋体"/>
          <w:color w:val="auto"/>
          <w:kern w:val="0"/>
          <w:sz w:val="24"/>
          <w:szCs w:val="24"/>
        </w:rPr>
        <w:t>，</w:t>
      </w:r>
      <w:r>
        <w:rPr>
          <w:rFonts w:hint="eastAsia" w:ascii="宋体" w:hAnsi="宋体" w:eastAsia="宋体" w:cs="宋体"/>
          <w:color w:val="auto"/>
          <w:kern w:val="0"/>
          <w:sz w:val="24"/>
          <w:szCs w:val="24"/>
          <w:lang w:val="zh-CN"/>
        </w:rPr>
        <w:t>由此引起的损失均由投标人自己承担。投标人同时应认真审阅招标文件中所有的事项、格式、条款和规范要求等，若投标人的投标文件没有按招标文件要求提交全部资料，或投标文件没有对招标文件做出实质性响应，其风险由投标人自行承担，并根据有关条款规定，该投标有可能被否决。</w:t>
      </w:r>
    </w:p>
    <w:p>
      <w:pPr>
        <w:spacing w:line="440" w:lineRule="exact"/>
        <w:jc w:val="left"/>
        <w:rPr>
          <w:rFonts w:hint="eastAsia" w:ascii="宋体" w:hAnsi="宋体" w:eastAsia="宋体" w:cs="宋体"/>
          <w:bCs/>
          <w:color w:val="auto"/>
          <w:sz w:val="24"/>
          <w:szCs w:val="24"/>
        </w:rPr>
      </w:pPr>
      <w:r>
        <w:rPr>
          <w:rFonts w:hint="eastAsia" w:ascii="宋体" w:hAnsi="宋体" w:eastAsia="宋体" w:cs="宋体"/>
          <w:color w:val="auto"/>
          <w:sz w:val="24"/>
          <w:szCs w:val="24"/>
        </w:rPr>
        <w:t>14.</w:t>
      </w:r>
      <w:r>
        <w:rPr>
          <w:rFonts w:hint="eastAsia" w:ascii="宋体" w:hAnsi="宋体" w:eastAsia="宋体" w:cs="宋体"/>
          <w:bCs/>
          <w:color w:val="auto"/>
          <w:sz w:val="24"/>
          <w:szCs w:val="24"/>
        </w:rPr>
        <w:t>招标文件的澄清、修改、补充、解释</w:t>
      </w:r>
    </w:p>
    <w:p>
      <w:pPr>
        <w:spacing w:line="440" w:lineRule="exact"/>
        <w:ind w:left="210" w:hanging="240" w:hangingChars="100"/>
        <w:jc w:val="left"/>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14.1</w:t>
      </w:r>
      <w:r>
        <w:rPr>
          <w:rFonts w:hint="eastAsia" w:ascii="宋体" w:hAnsi="宋体" w:eastAsia="宋体" w:cs="宋体"/>
          <w:color w:val="auto"/>
          <w:kern w:val="0"/>
          <w:sz w:val="24"/>
          <w:szCs w:val="24"/>
          <w:lang w:val="zh-CN"/>
        </w:rPr>
        <w:t>招标文件发出后</w:t>
      </w:r>
      <w:r>
        <w:rPr>
          <w:rFonts w:hint="eastAsia" w:ascii="宋体" w:hAnsi="宋体" w:eastAsia="宋体" w:cs="宋体"/>
          <w:color w:val="auto"/>
          <w:kern w:val="0"/>
          <w:sz w:val="24"/>
          <w:szCs w:val="24"/>
        </w:rPr>
        <w:t>，</w:t>
      </w:r>
      <w:r>
        <w:rPr>
          <w:rFonts w:hint="eastAsia" w:ascii="宋体" w:hAnsi="宋体" w:eastAsia="宋体" w:cs="宋体"/>
          <w:color w:val="auto"/>
          <w:kern w:val="0"/>
          <w:sz w:val="24"/>
          <w:szCs w:val="24"/>
          <w:lang w:val="zh-CN"/>
        </w:rPr>
        <w:t>招标人可对招标文件进行必要的澄清、修改和补充</w:t>
      </w:r>
      <w:r>
        <w:rPr>
          <w:rFonts w:hint="eastAsia" w:ascii="宋体" w:hAnsi="宋体" w:eastAsia="宋体" w:cs="宋体"/>
          <w:color w:val="auto"/>
          <w:kern w:val="0"/>
          <w:sz w:val="24"/>
          <w:szCs w:val="24"/>
        </w:rPr>
        <w:t>，</w:t>
      </w:r>
      <w:r>
        <w:rPr>
          <w:rFonts w:hint="eastAsia" w:ascii="宋体" w:hAnsi="宋体" w:eastAsia="宋体" w:cs="宋体"/>
          <w:color w:val="auto"/>
          <w:kern w:val="0"/>
          <w:sz w:val="24"/>
          <w:szCs w:val="24"/>
          <w:lang w:val="zh-CN"/>
        </w:rPr>
        <w:t>澄清内容</w:t>
      </w:r>
      <w:r>
        <w:rPr>
          <w:rFonts w:hint="eastAsia" w:ascii="宋体" w:hAnsi="宋体" w:eastAsia="宋体" w:cs="宋体"/>
          <w:color w:val="auto"/>
          <w:kern w:val="0"/>
          <w:sz w:val="24"/>
          <w:szCs w:val="24"/>
        </w:rPr>
        <w:t>将于</w:t>
      </w:r>
    </w:p>
    <w:p>
      <w:pPr>
        <w:spacing w:line="440" w:lineRule="exact"/>
        <w:ind w:left="210" w:hanging="241" w:hangingChars="100"/>
        <w:jc w:val="left"/>
        <w:rPr>
          <w:rFonts w:hint="eastAsia" w:ascii="宋体" w:hAnsi="宋体" w:eastAsia="宋体" w:cs="宋体"/>
          <w:color w:val="auto"/>
          <w:kern w:val="0"/>
          <w:sz w:val="24"/>
          <w:szCs w:val="24"/>
          <w:lang w:val="zh-CN"/>
        </w:rPr>
      </w:pPr>
      <w:r>
        <w:rPr>
          <w:rFonts w:hint="eastAsia" w:ascii="宋体" w:hAnsi="宋体" w:eastAsia="宋体" w:cs="宋体"/>
          <w:b/>
          <w:color w:val="auto"/>
          <w:kern w:val="0"/>
          <w:sz w:val="24"/>
          <w:szCs w:val="24"/>
        </w:rPr>
        <w:t>202</w:t>
      </w:r>
      <w:r>
        <w:rPr>
          <w:rFonts w:hint="eastAsia" w:ascii="宋体" w:hAnsi="宋体" w:eastAsia="宋体" w:cs="宋体"/>
          <w:b/>
          <w:color w:val="auto"/>
          <w:kern w:val="0"/>
          <w:sz w:val="24"/>
          <w:szCs w:val="24"/>
          <w:lang w:val="en-US" w:eastAsia="zh-CN"/>
        </w:rPr>
        <w:t>3</w:t>
      </w:r>
      <w:r>
        <w:rPr>
          <w:rFonts w:hint="eastAsia" w:ascii="宋体" w:hAnsi="宋体" w:eastAsia="宋体" w:cs="宋体"/>
          <w:b/>
          <w:color w:val="auto"/>
          <w:kern w:val="0"/>
          <w:sz w:val="24"/>
          <w:szCs w:val="24"/>
        </w:rPr>
        <w:t>年</w:t>
      </w:r>
      <w:r>
        <w:rPr>
          <w:rFonts w:hint="eastAsia" w:ascii="宋体" w:hAnsi="宋体" w:eastAsia="宋体" w:cs="宋体"/>
          <w:b/>
          <w:color w:val="auto"/>
          <w:kern w:val="0"/>
          <w:sz w:val="24"/>
          <w:szCs w:val="24"/>
          <w:lang w:val="en-US" w:eastAsia="zh-CN"/>
        </w:rPr>
        <w:t>3</w:t>
      </w:r>
      <w:r>
        <w:rPr>
          <w:rFonts w:hint="eastAsia" w:ascii="宋体" w:hAnsi="宋体" w:eastAsia="宋体" w:cs="宋体"/>
          <w:b/>
          <w:color w:val="auto"/>
          <w:kern w:val="0"/>
          <w:sz w:val="24"/>
          <w:szCs w:val="24"/>
        </w:rPr>
        <w:t>月</w:t>
      </w:r>
      <w:r>
        <w:rPr>
          <w:rFonts w:hint="eastAsia" w:ascii="宋体" w:hAnsi="宋体" w:cs="宋体"/>
          <w:b/>
          <w:color w:val="auto"/>
          <w:kern w:val="0"/>
          <w:sz w:val="24"/>
          <w:szCs w:val="24"/>
          <w:lang w:val="en-US" w:eastAsia="zh-CN"/>
        </w:rPr>
        <w:t>28</w:t>
      </w:r>
      <w:r>
        <w:rPr>
          <w:rFonts w:hint="eastAsia" w:ascii="宋体" w:hAnsi="宋体" w:eastAsia="宋体" w:cs="宋体"/>
          <w:b/>
          <w:color w:val="auto"/>
          <w:kern w:val="0"/>
          <w:sz w:val="24"/>
          <w:szCs w:val="24"/>
        </w:rPr>
        <w:t>日17时</w:t>
      </w:r>
      <w:r>
        <w:rPr>
          <w:rFonts w:hint="eastAsia" w:ascii="宋体" w:hAnsi="宋体" w:eastAsia="宋体" w:cs="宋体"/>
          <w:color w:val="auto"/>
          <w:kern w:val="0"/>
          <w:sz w:val="24"/>
          <w:szCs w:val="24"/>
        </w:rPr>
        <w:t>后</w:t>
      </w:r>
      <w:r>
        <w:rPr>
          <w:rFonts w:hint="eastAsia" w:ascii="宋体" w:hAnsi="宋体" w:cs="宋体"/>
          <w:color w:val="auto"/>
          <w:kern w:val="0"/>
          <w:sz w:val="24"/>
          <w:szCs w:val="24"/>
          <w:lang w:val="en-US" w:eastAsia="zh-CN"/>
        </w:rPr>
        <w:t>在网站予以公布</w:t>
      </w:r>
      <w:r>
        <w:rPr>
          <w:rFonts w:hint="eastAsia" w:ascii="宋体" w:hAnsi="宋体" w:eastAsia="宋体" w:cs="宋体"/>
          <w:color w:val="auto"/>
          <w:kern w:val="0"/>
          <w:sz w:val="24"/>
          <w:szCs w:val="24"/>
          <w:lang w:val="zh-CN"/>
        </w:rPr>
        <w:t>。招标文件的修改内容作为招标文件的组成部分，</w:t>
      </w:r>
    </w:p>
    <w:p>
      <w:pPr>
        <w:spacing w:line="440" w:lineRule="exact"/>
        <w:ind w:left="210" w:hanging="240" w:hangingChars="100"/>
        <w:jc w:val="left"/>
        <w:rPr>
          <w:rFonts w:hint="eastAsia" w:ascii="宋体" w:hAnsi="宋体" w:eastAsia="宋体" w:cs="宋体"/>
          <w:color w:val="auto"/>
          <w:sz w:val="24"/>
          <w:szCs w:val="24"/>
        </w:rPr>
      </w:pPr>
      <w:r>
        <w:rPr>
          <w:rFonts w:hint="eastAsia" w:ascii="宋体" w:hAnsi="宋体" w:eastAsia="宋体" w:cs="宋体"/>
          <w:color w:val="auto"/>
          <w:kern w:val="0"/>
          <w:sz w:val="24"/>
          <w:szCs w:val="24"/>
          <w:lang w:val="zh-CN"/>
        </w:rPr>
        <w:t>具有约束作用。</w:t>
      </w:r>
    </w:p>
    <w:p>
      <w:pPr>
        <w:spacing w:line="440" w:lineRule="exact"/>
        <w:jc w:val="left"/>
        <w:rPr>
          <w:rFonts w:hint="eastAsia" w:ascii="宋体" w:hAnsi="宋体" w:eastAsia="宋体" w:cs="宋体"/>
          <w:color w:val="auto"/>
          <w:sz w:val="24"/>
          <w:szCs w:val="24"/>
        </w:rPr>
      </w:pPr>
      <w:r>
        <w:rPr>
          <w:rFonts w:hint="eastAsia" w:ascii="宋体" w:hAnsi="宋体" w:eastAsia="宋体" w:cs="宋体"/>
          <w:color w:val="auto"/>
          <w:sz w:val="24"/>
          <w:szCs w:val="24"/>
        </w:rPr>
        <w:t>14.2  本招标文件由招标人委托的招标代理机构负责解释。</w:t>
      </w:r>
    </w:p>
    <w:p>
      <w:pPr>
        <w:spacing w:line="440" w:lineRule="exact"/>
        <w:jc w:val="left"/>
        <w:rPr>
          <w:rFonts w:hint="eastAsia" w:ascii="宋体" w:hAnsi="宋体" w:eastAsia="宋体" w:cs="宋体"/>
          <w:color w:val="auto"/>
          <w:sz w:val="24"/>
          <w:szCs w:val="24"/>
        </w:rPr>
      </w:pPr>
      <w:r>
        <w:rPr>
          <w:rFonts w:hint="eastAsia" w:ascii="宋体" w:hAnsi="宋体" w:eastAsia="宋体" w:cs="宋体"/>
          <w:color w:val="auto"/>
          <w:sz w:val="24"/>
          <w:szCs w:val="24"/>
        </w:rPr>
        <w:t>15.踏勘现场及投标预备会</w:t>
      </w:r>
    </w:p>
    <w:p>
      <w:pPr>
        <w:spacing w:line="440" w:lineRule="exact"/>
        <w:jc w:val="left"/>
        <w:rPr>
          <w:rFonts w:hint="eastAsia" w:ascii="宋体" w:hAnsi="宋体" w:eastAsia="宋体" w:cs="宋体"/>
          <w:color w:val="auto"/>
          <w:sz w:val="24"/>
          <w:szCs w:val="24"/>
        </w:rPr>
      </w:pPr>
      <w:r>
        <w:rPr>
          <w:rFonts w:hint="eastAsia" w:ascii="宋体" w:hAnsi="宋体" w:eastAsia="宋体" w:cs="宋体"/>
          <w:color w:val="auto"/>
          <w:sz w:val="24"/>
          <w:szCs w:val="24"/>
        </w:rPr>
        <w:t>15.1  踏勘现场</w:t>
      </w:r>
    </w:p>
    <w:p>
      <w:pPr>
        <w:spacing w:line="440" w:lineRule="exact"/>
        <w:jc w:val="left"/>
        <w:rPr>
          <w:rFonts w:hint="eastAsia" w:ascii="宋体" w:hAnsi="宋体" w:eastAsia="宋体" w:cs="宋体"/>
          <w:color w:val="auto"/>
          <w:sz w:val="24"/>
          <w:szCs w:val="24"/>
        </w:rPr>
      </w:pPr>
      <w:r>
        <w:rPr>
          <w:rFonts w:hint="eastAsia" w:ascii="宋体" w:hAnsi="宋体" w:eastAsia="宋体" w:cs="宋体"/>
          <w:color w:val="auto"/>
          <w:sz w:val="24"/>
          <w:szCs w:val="24"/>
        </w:rPr>
        <w:t>15.1.1</w:t>
      </w:r>
      <w:r>
        <w:rPr>
          <w:rFonts w:hint="eastAsia" w:ascii="宋体" w:hAnsi="宋体" w:eastAsia="宋体" w:cs="宋体"/>
          <w:color w:val="auto"/>
          <w:kern w:val="0"/>
          <w:sz w:val="24"/>
          <w:szCs w:val="24"/>
        </w:rPr>
        <w:t>不再集中召开招标答疑会；投标人自行组织勘察现场。</w:t>
      </w:r>
    </w:p>
    <w:p>
      <w:pPr>
        <w:spacing w:line="440" w:lineRule="exact"/>
        <w:jc w:val="left"/>
        <w:rPr>
          <w:rFonts w:hint="eastAsia" w:ascii="宋体" w:hAnsi="宋体" w:eastAsia="宋体" w:cs="宋体"/>
          <w:color w:val="auto"/>
          <w:sz w:val="24"/>
          <w:szCs w:val="24"/>
          <w:lang w:eastAsia="zh-CN"/>
        </w:rPr>
      </w:pPr>
      <w:r>
        <w:rPr>
          <w:rFonts w:hint="eastAsia" w:ascii="宋体" w:hAnsi="宋体" w:eastAsia="宋体" w:cs="宋体"/>
          <w:color w:val="auto"/>
          <w:sz w:val="24"/>
          <w:szCs w:val="24"/>
        </w:rPr>
        <w:t>15.2  投标预备会</w:t>
      </w:r>
      <w:r>
        <w:rPr>
          <w:rFonts w:hint="eastAsia" w:ascii="宋体" w:hAnsi="宋体" w:cs="宋体"/>
          <w:color w:val="auto"/>
          <w:sz w:val="24"/>
          <w:szCs w:val="24"/>
          <w:lang w:eastAsia="zh-CN"/>
        </w:rPr>
        <w:t>（</w:t>
      </w:r>
      <w:r>
        <w:rPr>
          <w:rFonts w:hint="eastAsia" w:ascii="宋体" w:hAnsi="宋体" w:cs="宋体"/>
          <w:color w:val="auto"/>
          <w:sz w:val="24"/>
          <w:szCs w:val="24"/>
          <w:lang w:val="en-US" w:eastAsia="zh-CN"/>
        </w:rPr>
        <w:t>本项目不采用</w:t>
      </w:r>
      <w:r>
        <w:rPr>
          <w:rFonts w:hint="eastAsia" w:ascii="宋体" w:hAnsi="宋体" w:cs="宋体"/>
          <w:color w:val="auto"/>
          <w:sz w:val="24"/>
          <w:szCs w:val="24"/>
          <w:lang w:eastAsia="zh-CN"/>
        </w:rPr>
        <w:t>）</w:t>
      </w:r>
    </w:p>
    <w:p>
      <w:pPr>
        <w:spacing w:line="440" w:lineRule="exact"/>
        <w:rPr>
          <w:rFonts w:hint="eastAsia" w:ascii="宋体" w:hAnsi="宋体" w:eastAsia="宋体" w:cs="宋体"/>
          <w:color w:val="auto"/>
          <w:sz w:val="24"/>
          <w:szCs w:val="24"/>
        </w:rPr>
      </w:pPr>
      <w:r>
        <w:rPr>
          <w:rFonts w:hint="eastAsia" w:ascii="宋体" w:hAnsi="宋体" w:eastAsia="宋体" w:cs="宋体"/>
          <w:color w:val="auto"/>
          <w:sz w:val="24"/>
          <w:szCs w:val="24"/>
        </w:rPr>
        <w:t>16. 招标文件的发出</w:t>
      </w:r>
    </w:p>
    <w:p>
      <w:pPr>
        <w:spacing w:line="440" w:lineRule="exact"/>
        <w:rPr>
          <w:rFonts w:hint="eastAsia" w:ascii="宋体" w:hAnsi="宋体" w:eastAsia="宋体" w:cs="宋体"/>
          <w:color w:val="auto"/>
          <w:sz w:val="24"/>
          <w:szCs w:val="24"/>
        </w:rPr>
      </w:pPr>
      <w:r>
        <w:rPr>
          <w:rFonts w:hint="eastAsia" w:ascii="宋体" w:hAnsi="宋体" w:eastAsia="宋体" w:cs="宋体"/>
          <w:color w:val="auto"/>
          <w:sz w:val="24"/>
          <w:szCs w:val="24"/>
        </w:rPr>
        <w:t>16.1招标文件、招标文件的澄清、修改、补充及招标答疑等均应报招标人备案后，方可发出。</w:t>
      </w:r>
    </w:p>
    <w:p>
      <w:pPr>
        <w:spacing w:line="440" w:lineRule="exact"/>
        <w:jc w:val="left"/>
        <w:rPr>
          <w:rFonts w:hint="eastAsia" w:ascii="宋体" w:hAnsi="宋体" w:eastAsia="宋体" w:cs="宋体"/>
          <w:color w:val="auto"/>
          <w:sz w:val="24"/>
          <w:szCs w:val="24"/>
        </w:rPr>
      </w:pPr>
      <w:r>
        <w:rPr>
          <w:rFonts w:hint="eastAsia" w:ascii="宋体" w:hAnsi="宋体" w:eastAsia="宋体" w:cs="宋体"/>
          <w:color w:val="auto"/>
          <w:sz w:val="24"/>
          <w:szCs w:val="24"/>
        </w:rPr>
        <w:t>17. 最高投标限价的作用和说明</w:t>
      </w:r>
    </w:p>
    <w:p>
      <w:pPr>
        <w:spacing w:line="440" w:lineRule="exact"/>
        <w:rPr>
          <w:rFonts w:hint="eastAsia" w:ascii="宋体" w:hAnsi="宋体" w:eastAsia="宋体" w:cs="宋体"/>
          <w:color w:val="auto"/>
          <w:sz w:val="24"/>
          <w:szCs w:val="24"/>
          <w:lang w:val="en-US"/>
        </w:rPr>
      </w:pPr>
      <w:bookmarkStart w:id="42" w:name="_Toc24852"/>
      <w:r>
        <w:rPr>
          <w:rFonts w:hint="eastAsia" w:ascii="宋体" w:hAnsi="宋体" w:eastAsia="宋体" w:cs="宋体"/>
          <w:color w:val="auto"/>
          <w:sz w:val="24"/>
          <w:szCs w:val="24"/>
        </w:rPr>
        <w:t>17.1</w:t>
      </w:r>
      <w:r>
        <w:rPr>
          <w:rFonts w:hint="eastAsia" w:ascii="宋体" w:hAnsi="宋体" w:eastAsia="宋体" w:cs="宋体"/>
          <w:color w:val="auto"/>
          <w:sz w:val="24"/>
          <w:szCs w:val="24"/>
          <w:lang w:val="en-US" w:eastAsia="zh-CN"/>
        </w:rPr>
        <w:t>见投标须知前附表。</w:t>
      </w:r>
    </w:p>
    <w:p>
      <w:pPr>
        <w:spacing w:before="95" w:beforeLines="30" w:after="95" w:afterLines="30" w:line="440" w:lineRule="exact"/>
        <w:jc w:val="center"/>
        <w:outlineLvl w:val="1"/>
        <w:rPr>
          <w:rFonts w:ascii="宋体" w:hAnsi="宋体" w:cs="宋体"/>
          <w:b/>
          <w:bCs/>
          <w:color w:val="auto"/>
          <w:sz w:val="24"/>
          <w:szCs w:val="24"/>
        </w:rPr>
      </w:pPr>
      <w:r>
        <w:rPr>
          <w:rFonts w:hint="eastAsia" w:ascii="宋体" w:hAnsi="宋体" w:cs="宋体"/>
          <w:b/>
          <w:bCs/>
          <w:color w:val="auto"/>
          <w:sz w:val="24"/>
          <w:szCs w:val="24"/>
        </w:rPr>
        <w:t>三、投标文件的编制</w:t>
      </w:r>
      <w:bookmarkEnd w:id="42"/>
    </w:p>
    <w:p>
      <w:pPr>
        <w:pStyle w:val="7"/>
        <w:spacing w:before="0" w:after="0" w:line="440" w:lineRule="exact"/>
        <w:rPr>
          <w:rFonts w:ascii="宋体" w:hAnsi="宋体" w:eastAsia="宋体" w:cs="宋体"/>
          <w:b w:val="0"/>
          <w:bCs w:val="0"/>
          <w:color w:val="auto"/>
          <w:sz w:val="24"/>
          <w:szCs w:val="24"/>
        </w:rPr>
      </w:pPr>
      <w:r>
        <w:rPr>
          <w:rFonts w:hint="eastAsia" w:ascii="宋体" w:hAnsi="宋体" w:eastAsia="宋体" w:cs="宋体"/>
          <w:b w:val="0"/>
          <w:bCs w:val="0"/>
          <w:color w:val="auto"/>
          <w:sz w:val="24"/>
          <w:szCs w:val="24"/>
        </w:rPr>
        <w:t>21. 投标文件的组成</w:t>
      </w:r>
    </w:p>
    <w:p>
      <w:pPr>
        <w:spacing w:line="440" w:lineRule="exact"/>
        <w:rPr>
          <w:rFonts w:ascii="宋体" w:hAnsi="宋体" w:cs="宋体"/>
          <w:color w:val="auto"/>
          <w:sz w:val="24"/>
          <w:szCs w:val="24"/>
        </w:rPr>
      </w:pPr>
      <w:r>
        <w:rPr>
          <w:rFonts w:hint="eastAsia" w:ascii="宋体" w:hAnsi="宋体" w:cs="宋体"/>
          <w:color w:val="auto"/>
          <w:sz w:val="24"/>
          <w:szCs w:val="24"/>
        </w:rPr>
        <w:t>22．投标报价</w:t>
      </w:r>
    </w:p>
    <w:p>
      <w:pPr>
        <w:spacing w:line="440" w:lineRule="exact"/>
        <w:rPr>
          <w:rFonts w:ascii="宋体" w:hAnsi="宋体" w:cs="宋体"/>
          <w:color w:val="auto"/>
          <w:sz w:val="24"/>
          <w:szCs w:val="24"/>
        </w:rPr>
      </w:pPr>
      <w:r>
        <w:rPr>
          <w:rFonts w:hint="eastAsia" w:ascii="宋体" w:hAnsi="宋体" w:cs="宋体"/>
          <w:color w:val="auto"/>
          <w:sz w:val="24"/>
          <w:szCs w:val="24"/>
        </w:rPr>
        <w:t>22.1 投标人的投标报价包括按合同规定的范围所提供的全部服务所需的费用，即招标范围内人员工资、办公费用、成本、利润及税金等全部费用。</w:t>
      </w:r>
    </w:p>
    <w:p>
      <w:pPr>
        <w:spacing w:line="440" w:lineRule="exact"/>
        <w:rPr>
          <w:rFonts w:ascii="宋体" w:hAnsi="宋体" w:cs="宋体"/>
          <w:color w:val="auto"/>
          <w:sz w:val="24"/>
          <w:szCs w:val="24"/>
        </w:rPr>
      </w:pPr>
      <w:r>
        <w:rPr>
          <w:rFonts w:hint="eastAsia" w:ascii="宋体" w:hAnsi="宋体" w:cs="宋体"/>
          <w:color w:val="auto"/>
          <w:sz w:val="24"/>
          <w:szCs w:val="24"/>
        </w:rPr>
        <w:t>22.2 投标报价不按规定报价的，其投标文件按无效标处理。</w:t>
      </w:r>
    </w:p>
    <w:p>
      <w:pPr>
        <w:spacing w:line="440" w:lineRule="exact"/>
        <w:rPr>
          <w:rFonts w:ascii="宋体" w:hAnsi="宋体" w:cs="宋体"/>
          <w:color w:val="auto"/>
          <w:sz w:val="24"/>
          <w:szCs w:val="24"/>
        </w:rPr>
      </w:pPr>
      <w:r>
        <w:rPr>
          <w:rFonts w:hint="eastAsia" w:ascii="宋体" w:hAnsi="宋体" w:cs="宋体"/>
          <w:color w:val="auto"/>
          <w:sz w:val="24"/>
          <w:szCs w:val="24"/>
        </w:rPr>
        <w:t>23.投标有效期</w:t>
      </w:r>
    </w:p>
    <w:p>
      <w:pPr>
        <w:spacing w:line="440" w:lineRule="exact"/>
        <w:rPr>
          <w:rFonts w:ascii="宋体" w:hAnsi="宋体" w:cs="宋体"/>
          <w:color w:val="auto"/>
          <w:sz w:val="24"/>
          <w:szCs w:val="24"/>
        </w:rPr>
      </w:pPr>
      <w:r>
        <w:rPr>
          <w:rFonts w:hint="eastAsia" w:ascii="宋体" w:hAnsi="宋体" w:cs="宋体"/>
          <w:color w:val="auto"/>
          <w:sz w:val="24"/>
          <w:szCs w:val="24"/>
        </w:rPr>
        <w:t>23.1投标有效期为</w:t>
      </w:r>
      <w:r>
        <w:rPr>
          <w:rFonts w:hint="eastAsia" w:ascii="宋体" w:hAnsi="宋体" w:cs="宋体"/>
          <w:color w:val="auto"/>
          <w:sz w:val="24"/>
          <w:szCs w:val="24"/>
          <w:u w:val="single"/>
        </w:rPr>
        <w:t>60</w:t>
      </w:r>
      <w:r>
        <w:rPr>
          <w:rFonts w:hint="eastAsia" w:ascii="宋体" w:hAnsi="宋体" w:cs="宋体"/>
          <w:color w:val="auto"/>
          <w:sz w:val="24"/>
          <w:szCs w:val="24"/>
        </w:rPr>
        <w:t>日历天（从投标截止之日算起）。在此期限内，凡符合本招标文件要求的投标文件均保持有效。</w:t>
      </w:r>
    </w:p>
    <w:p>
      <w:pPr>
        <w:spacing w:line="440" w:lineRule="exact"/>
        <w:rPr>
          <w:rFonts w:ascii="宋体" w:hAnsi="宋体" w:cs="宋体"/>
          <w:color w:val="auto"/>
          <w:sz w:val="24"/>
          <w:szCs w:val="24"/>
        </w:rPr>
      </w:pPr>
      <w:r>
        <w:rPr>
          <w:rFonts w:hint="eastAsia" w:ascii="宋体" w:hAnsi="宋体" w:cs="宋体"/>
          <w:color w:val="auto"/>
          <w:sz w:val="24"/>
          <w:szCs w:val="24"/>
        </w:rPr>
        <w:t>23.2 在特殊情况下，招标人在原定投标有效期内，可以根据需要以书面形式向投标人提出延长投标有效期的要求，对此要求投标人须以书面形式予以答复。投标人可以拒绝招标人这种要求，同意延长投标有效期的投标人既不能要求也不允许修改其投标文件，但需要相应的延长投标担保的有效期。</w:t>
      </w:r>
    </w:p>
    <w:p>
      <w:pPr>
        <w:spacing w:line="440" w:lineRule="exact"/>
        <w:rPr>
          <w:rFonts w:ascii="宋体" w:hAnsi="宋体" w:cs="宋体"/>
          <w:color w:val="auto"/>
          <w:sz w:val="24"/>
          <w:szCs w:val="24"/>
        </w:rPr>
      </w:pPr>
      <w:r>
        <w:rPr>
          <w:rFonts w:hint="eastAsia" w:ascii="宋体" w:hAnsi="宋体" w:cs="宋体"/>
          <w:color w:val="auto"/>
          <w:sz w:val="24"/>
          <w:szCs w:val="24"/>
        </w:rPr>
        <w:t>24. 投标保证金</w:t>
      </w:r>
    </w:p>
    <w:p>
      <w:pPr>
        <w:spacing w:line="440" w:lineRule="exact"/>
        <w:rPr>
          <w:rFonts w:ascii="宋体" w:hAnsi="宋体" w:cs="宋体"/>
          <w:color w:val="auto"/>
          <w:sz w:val="24"/>
          <w:szCs w:val="24"/>
        </w:rPr>
      </w:pPr>
      <w:r>
        <w:rPr>
          <w:rFonts w:hint="eastAsia" w:ascii="宋体" w:hAnsi="宋体" w:cs="宋体"/>
          <w:color w:val="auto"/>
          <w:sz w:val="24"/>
          <w:szCs w:val="24"/>
        </w:rPr>
        <w:t>24.1 详见须知前附表。</w:t>
      </w:r>
    </w:p>
    <w:p>
      <w:pPr>
        <w:spacing w:before="95" w:beforeLines="30" w:after="95" w:afterLines="30" w:line="440" w:lineRule="exact"/>
        <w:jc w:val="center"/>
        <w:outlineLvl w:val="1"/>
        <w:rPr>
          <w:rFonts w:ascii="宋体" w:hAnsi="宋体" w:cs="宋体"/>
          <w:b/>
          <w:bCs/>
          <w:color w:val="auto"/>
          <w:sz w:val="24"/>
          <w:szCs w:val="24"/>
        </w:rPr>
      </w:pPr>
      <w:bookmarkStart w:id="43" w:name="_Toc27519"/>
      <w:r>
        <w:rPr>
          <w:rFonts w:hint="eastAsia" w:ascii="宋体" w:hAnsi="宋体" w:cs="宋体"/>
          <w:b/>
          <w:bCs/>
          <w:color w:val="auto"/>
          <w:sz w:val="24"/>
          <w:szCs w:val="24"/>
        </w:rPr>
        <w:t>四、投标文件的密封和递交</w:t>
      </w:r>
      <w:bookmarkEnd w:id="43"/>
    </w:p>
    <w:p>
      <w:pPr>
        <w:spacing w:line="440" w:lineRule="exact"/>
        <w:rPr>
          <w:rFonts w:ascii="宋体" w:hAnsi="宋体" w:cs="宋体"/>
          <w:color w:val="auto"/>
          <w:sz w:val="24"/>
          <w:szCs w:val="24"/>
        </w:rPr>
      </w:pPr>
      <w:r>
        <w:rPr>
          <w:rFonts w:hint="eastAsia" w:ascii="宋体" w:hAnsi="宋体" w:cs="宋体"/>
          <w:color w:val="auto"/>
          <w:sz w:val="24"/>
          <w:szCs w:val="24"/>
        </w:rPr>
        <w:t>25.   投标文件的份数和签署</w:t>
      </w:r>
    </w:p>
    <w:p>
      <w:pPr>
        <w:spacing w:line="440" w:lineRule="exact"/>
        <w:jc w:val="left"/>
        <w:rPr>
          <w:rFonts w:ascii="宋体" w:hAnsi="宋体" w:cs="宋体"/>
          <w:color w:val="auto"/>
          <w:sz w:val="24"/>
          <w:szCs w:val="24"/>
        </w:rPr>
      </w:pPr>
      <w:r>
        <w:rPr>
          <w:rFonts w:hint="eastAsia" w:ascii="宋体" w:hAnsi="宋体" w:cs="宋体"/>
          <w:color w:val="auto"/>
          <w:sz w:val="24"/>
          <w:szCs w:val="24"/>
        </w:rPr>
        <w:t>25.1  投标文件：书面文件一式</w:t>
      </w:r>
      <w:r>
        <w:rPr>
          <w:rFonts w:hint="eastAsia" w:ascii="宋体" w:hAnsi="宋体" w:cs="宋体"/>
          <w:color w:val="auto"/>
          <w:sz w:val="24"/>
          <w:szCs w:val="24"/>
          <w:u w:val="single"/>
        </w:rPr>
        <w:t xml:space="preserve"> 叁 </w:t>
      </w:r>
      <w:r>
        <w:rPr>
          <w:rFonts w:hint="eastAsia" w:ascii="宋体" w:hAnsi="宋体" w:cs="宋体"/>
          <w:color w:val="auto"/>
          <w:sz w:val="24"/>
          <w:szCs w:val="24"/>
        </w:rPr>
        <w:t>份，正本</w:t>
      </w:r>
      <w:r>
        <w:rPr>
          <w:rFonts w:hint="eastAsia" w:ascii="宋体" w:hAnsi="宋体" w:cs="宋体"/>
          <w:color w:val="auto"/>
          <w:sz w:val="24"/>
          <w:szCs w:val="24"/>
          <w:u w:val="single"/>
        </w:rPr>
        <w:t xml:space="preserve"> 壹 </w:t>
      </w:r>
      <w:r>
        <w:rPr>
          <w:rFonts w:hint="eastAsia" w:ascii="宋体" w:hAnsi="宋体" w:cs="宋体"/>
          <w:color w:val="auto"/>
          <w:sz w:val="24"/>
          <w:szCs w:val="24"/>
        </w:rPr>
        <w:t>份，副本</w:t>
      </w:r>
      <w:r>
        <w:rPr>
          <w:rFonts w:hint="eastAsia" w:ascii="宋体" w:hAnsi="宋体" w:cs="宋体"/>
          <w:color w:val="auto"/>
          <w:sz w:val="24"/>
          <w:szCs w:val="24"/>
          <w:u w:val="single"/>
        </w:rPr>
        <w:t xml:space="preserve"> 贰 </w:t>
      </w:r>
      <w:r>
        <w:rPr>
          <w:rFonts w:hint="eastAsia" w:ascii="宋体" w:hAnsi="宋体" w:cs="宋体"/>
          <w:color w:val="auto"/>
          <w:sz w:val="24"/>
          <w:szCs w:val="24"/>
        </w:rPr>
        <w:t>份。</w:t>
      </w:r>
    </w:p>
    <w:p>
      <w:pPr>
        <w:spacing w:line="440" w:lineRule="exact"/>
        <w:jc w:val="left"/>
        <w:rPr>
          <w:rFonts w:ascii="宋体" w:hAnsi="宋体" w:cs="宋体"/>
          <w:color w:val="auto"/>
          <w:sz w:val="24"/>
          <w:szCs w:val="24"/>
        </w:rPr>
      </w:pPr>
      <w:r>
        <w:rPr>
          <w:rFonts w:hint="eastAsia" w:ascii="宋体" w:hAnsi="宋体" w:cs="宋体"/>
          <w:color w:val="auto"/>
          <w:sz w:val="24"/>
          <w:szCs w:val="24"/>
        </w:rPr>
        <w:t>25.2  投标文件的正本和副本均需打印或使用不褪色的蓝、黑墨水笔书写，字迹应清晰易于辩认，并应在投标文件封面的右上角清楚地注明“正本”或“副本”。正本和副本如有不一致之处，以正本为准。</w:t>
      </w:r>
    </w:p>
    <w:p>
      <w:pPr>
        <w:spacing w:line="440" w:lineRule="exact"/>
        <w:jc w:val="left"/>
        <w:rPr>
          <w:rFonts w:ascii="宋体" w:hAnsi="宋体" w:cs="宋体"/>
          <w:color w:val="auto"/>
          <w:spacing w:val="-4"/>
          <w:sz w:val="24"/>
          <w:szCs w:val="24"/>
        </w:rPr>
      </w:pPr>
      <w:r>
        <w:rPr>
          <w:rFonts w:hint="eastAsia" w:ascii="宋体" w:hAnsi="宋体" w:cs="宋体"/>
          <w:color w:val="auto"/>
          <w:sz w:val="24"/>
          <w:szCs w:val="24"/>
        </w:rPr>
        <w:t>25.3  投标文件中的授权书、投标函应当在格式文本要求的相应位置签字和盖章，否则，应当否决其投标。</w:t>
      </w:r>
    </w:p>
    <w:p>
      <w:pPr>
        <w:spacing w:line="440" w:lineRule="exact"/>
        <w:jc w:val="left"/>
        <w:rPr>
          <w:rFonts w:ascii="宋体" w:hAnsi="宋体" w:cs="宋体"/>
          <w:color w:val="auto"/>
          <w:sz w:val="24"/>
          <w:szCs w:val="24"/>
        </w:rPr>
      </w:pPr>
      <w:r>
        <w:rPr>
          <w:rFonts w:hint="eastAsia" w:ascii="宋体" w:hAnsi="宋体" w:cs="宋体"/>
          <w:color w:val="auto"/>
          <w:sz w:val="24"/>
          <w:szCs w:val="24"/>
        </w:rPr>
        <w:t>26.   投标文件的装订、密封和标记</w:t>
      </w:r>
    </w:p>
    <w:p>
      <w:pPr>
        <w:spacing w:line="440" w:lineRule="exact"/>
        <w:jc w:val="left"/>
        <w:rPr>
          <w:rFonts w:ascii="宋体" w:hAnsi="宋体" w:cs="宋体"/>
          <w:color w:val="auto"/>
          <w:sz w:val="24"/>
          <w:szCs w:val="24"/>
        </w:rPr>
      </w:pPr>
      <w:r>
        <w:rPr>
          <w:rFonts w:hint="eastAsia" w:ascii="宋体" w:hAnsi="宋体" w:cs="宋体"/>
          <w:color w:val="auto"/>
          <w:sz w:val="24"/>
          <w:szCs w:val="24"/>
        </w:rPr>
        <w:t>26.1  投标文件的装订要求</w:t>
      </w:r>
    </w:p>
    <w:p>
      <w:pPr>
        <w:spacing w:line="440" w:lineRule="exact"/>
        <w:jc w:val="left"/>
        <w:rPr>
          <w:rFonts w:ascii="宋体" w:hAnsi="宋体" w:cs="宋体"/>
          <w:color w:val="auto"/>
          <w:sz w:val="24"/>
          <w:szCs w:val="24"/>
        </w:rPr>
      </w:pPr>
      <w:r>
        <w:rPr>
          <w:rFonts w:hint="eastAsia" w:ascii="宋体" w:hAnsi="宋体" w:cs="宋体"/>
          <w:color w:val="auto"/>
          <w:sz w:val="24"/>
          <w:szCs w:val="24"/>
        </w:rPr>
        <w:t>26.1.1投标文件应组成按顺序装订在一起</w:t>
      </w:r>
    </w:p>
    <w:p>
      <w:pPr>
        <w:spacing w:line="440" w:lineRule="exact"/>
        <w:jc w:val="left"/>
        <w:rPr>
          <w:rFonts w:ascii="宋体" w:hAnsi="宋体" w:cs="宋体"/>
          <w:color w:val="auto"/>
          <w:sz w:val="24"/>
          <w:szCs w:val="24"/>
        </w:rPr>
      </w:pPr>
      <w:r>
        <w:rPr>
          <w:rFonts w:hint="eastAsia" w:ascii="宋体" w:hAnsi="宋体" w:cs="宋体"/>
          <w:color w:val="auto"/>
          <w:sz w:val="24"/>
          <w:szCs w:val="24"/>
        </w:rPr>
        <w:t>26.2  投标文件的密封</w:t>
      </w:r>
    </w:p>
    <w:p>
      <w:pPr>
        <w:spacing w:line="440" w:lineRule="exact"/>
        <w:jc w:val="left"/>
        <w:rPr>
          <w:rFonts w:ascii="宋体" w:hAnsi="宋体" w:cs="宋体"/>
          <w:color w:val="auto"/>
          <w:sz w:val="24"/>
          <w:szCs w:val="24"/>
        </w:rPr>
      </w:pPr>
      <w:r>
        <w:rPr>
          <w:rFonts w:hint="eastAsia" w:ascii="宋体" w:hAnsi="宋体" w:cs="宋体"/>
          <w:color w:val="auto"/>
          <w:sz w:val="24"/>
          <w:szCs w:val="24"/>
        </w:rPr>
        <w:t>26.2.1投标人应当将投标文件正本、副本密封在文件袋内。</w:t>
      </w:r>
    </w:p>
    <w:p>
      <w:pPr>
        <w:spacing w:line="440" w:lineRule="exact"/>
        <w:jc w:val="left"/>
        <w:rPr>
          <w:rFonts w:ascii="宋体" w:hAnsi="宋体" w:cs="宋体"/>
          <w:color w:val="auto"/>
          <w:sz w:val="24"/>
          <w:szCs w:val="24"/>
        </w:rPr>
      </w:pPr>
      <w:r>
        <w:rPr>
          <w:rFonts w:hint="eastAsia" w:ascii="宋体" w:hAnsi="宋体" w:cs="宋体"/>
          <w:color w:val="auto"/>
          <w:sz w:val="24"/>
          <w:szCs w:val="24"/>
        </w:rPr>
        <w:t>26.3  投标文件密封袋的标记</w:t>
      </w:r>
    </w:p>
    <w:p>
      <w:pPr>
        <w:spacing w:line="440" w:lineRule="exact"/>
        <w:jc w:val="left"/>
        <w:rPr>
          <w:rFonts w:ascii="宋体" w:hAnsi="宋体" w:cs="宋体"/>
          <w:color w:val="auto"/>
          <w:sz w:val="24"/>
          <w:szCs w:val="24"/>
        </w:rPr>
      </w:pPr>
      <w:r>
        <w:rPr>
          <w:rFonts w:hint="eastAsia" w:ascii="宋体" w:hAnsi="宋体" w:cs="宋体"/>
          <w:color w:val="auto"/>
          <w:sz w:val="24"/>
          <w:szCs w:val="24"/>
        </w:rPr>
        <w:t>26.3.1在投标文件密封袋上应写明投标人名称和地址；注明下列识别标志：招标项目名称。</w:t>
      </w:r>
    </w:p>
    <w:p>
      <w:pPr>
        <w:spacing w:line="440" w:lineRule="exact"/>
        <w:jc w:val="left"/>
        <w:rPr>
          <w:rFonts w:ascii="宋体" w:hAnsi="宋体" w:cs="宋体"/>
          <w:color w:val="auto"/>
          <w:sz w:val="24"/>
          <w:szCs w:val="24"/>
        </w:rPr>
      </w:pPr>
      <w:r>
        <w:rPr>
          <w:rFonts w:hint="eastAsia" w:ascii="宋体" w:hAnsi="宋体" w:cs="宋体"/>
          <w:color w:val="auto"/>
          <w:sz w:val="24"/>
          <w:szCs w:val="24"/>
        </w:rPr>
        <w:t>26.3.2投标文件的密封袋应加盖投标人印章；否则，该投标文件将被拒绝。</w:t>
      </w:r>
    </w:p>
    <w:p>
      <w:pPr>
        <w:spacing w:line="440" w:lineRule="exact"/>
        <w:jc w:val="left"/>
        <w:rPr>
          <w:rFonts w:ascii="宋体" w:hAnsi="宋体" w:cs="宋体"/>
          <w:color w:val="auto"/>
          <w:sz w:val="24"/>
          <w:szCs w:val="24"/>
        </w:rPr>
      </w:pPr>
      <w:r>
        <w:rPr>
          <w:rFonts w:hint="eastAsia" w:ascii="宋体" w:hAnsi="宋体" w:cs="宋体"/>
          <w:color w:val="auto"/>
          <w:sz w:val="24"/>
          <w:szCs w:val="24"/>
        </w:rPr>
        <w:t>27.   投标文件的提交</w:t>
      </w:r>
    </w:p>
    <w:p>
      <w:pPr>
        <w:spacing w:line="440" w:lineRule="exact"/>
        <w:rPr>
          <w:rFonts w:ascii="宋体" w:hAnsi="宋体" w:cs="宋体"/>
          <w:color w:val="auto"/>
          <w:kern w:val="0"/>
          <w:sz w:val="24"/>
          <w:szCs w:val="24"/>
          <w:u w:val="single"/>
        </w:rPr>
      </w:pPr>
      <w:r>
        <w:rPr>
          <w:rFonts w:hint="eastAsia" w:ascii="宋体" w:hAnsi="宋体" w:cs="宋体"/>
          <w:color w:val="auto"/>
          <w:sz w:val="24"/>
          <w:szCs w:val="24"/>
        </w:rPr>
        <w:t>27.1  投标文件提交的收件人、截止时间及地点：详见须知前附表</w:t>
      </w:r>
    </w:p>
    <w:p>
      <w:pPr>
        <w:spacing w:line="440" w:lineRule="exact"/>
        <w:jc w:val="left"/>
        <w:rPr>
          <w:rFonts w:ascii="宋体" w:hAnsi="宋体" w:cs="宋体"/>
          <w:color w:val="auto"/>
          <w:sz w:val="24"/>
          <w:szCs w:val="24"/>
        </w:rPr>
      </w:pPr>
      <w:r>
        <w:rPr>
          <w:rFonts w:hint="eastAsia" w:ascii="宋体" w:hAnsi="宋体" w:cs="宋体"/>
          <w:color w:val="auto"/>
          <w:sz w:val="24"/>
          <w:szCs w:val="24"/>
        </w:rPr>
        <w:t>27.2  迟交的投标文件</w:t>
      </w:r>
    </w:p>
    <w:p>
      <w:pPr>
        <w:spacing w:line="440" w:lineRule="exact"/>
        <w:jc w:val="left"/>
        <w:rPr>
          <w:rFonts w:ascii="宋体" w:hAnsi="宋体" w:cs="宋体"/>
          <w:color w:val="auto"/>
          <w:sz w:val="24"/>
          <w:szCs w:val="24"/>
        </w:rPr>
      </w:pPr>
      <w:r>
        <w:rPr>
          <w:rFonts w:hint="eastAsia" w:ascii="宋体" w:hAnsi="宋体" w:cs="宋体"/>
          <w:color w:val="auto"/>
          <w:sz w:val="24"/>
          <w:szCs w:val="24"/>
        </w:rPr>
        <w:t>27.2.1招标人在本须知第27.1款规定的投标截止时间以后收到的投标文件，将被拒绝并退回给投标人。</w:t>
      </w:r>
    </w:p>
    <w:p>
      <w:pPr>
        <w:spacing w:line="440" w:lineRule="exact"/>
        <w:jc w:val="left"/>
        <w:rPr>
          <w:rFonts w:ascii="宋体" w:hAnsi="宋体" w:cs="宋体"/>
          <w:color w:val="auto"/>
          <w:sz w:val="24"/>
          <w:szCs w:val="24"/>
        </w:rPr>
      </w:pPr>
      <w:r>
        <w:rPr>
          <w:rFonts w:hint="eastAsia" w:ascii="宋体" w:hAnsi="宋体" w:cs="宋体"/>
          <w:color w:val="auto"/>
          <w:sz w:val="24"/>
          <w:szCs w:val="24"/>
        </w:rPr>
        <w:t>28.   投标文件的补充、修改与撤回</w:t>
      </w:r>
    </w:p>
    <w:p>
      <w:pPr>
        <w:spacing w:line="440" w:lineRule="exact"/>
        <w:jc w:val="left"/>
        <w:rPr>
          <w:rFonts w:ascii="宋体" w:hAnsi="宋体" w:cs="宋体"/>
          <w:color w:val="auto"/>
          <w:sz w:val="24"/>
          <w:szCs w:val="24"/>
        </w:rPr>
      </w:pPr>
      <w:r>
        <w:rPr>
          <w:rFonts w:hint="eastAsia" w:ascii="宋体" w:hAnsi="宋体" w:cs="宋体"/>
          <w:color w:val="auto"/>
          <w:sz w:val="24"/>
          <w:szCs w:val="24"/>
        </w:rPr>
        <w:t>28.1  投标人在提交投标文件以后，在规定的投标截止时间之前，可以书面形式补充、修改或撤回已提交的投标文件，并以书面形式通知招标人。补充、修改的内容为投标文件的组成部分。</w:t>
      </w:r>
    </w:p>
    <w:p>
      <w:pPr>
        <w:spacing w:line="440" w:lineRule="exact"/>
        <w:jc w:val="left"/>
        <w:rPr>
          <w:rFonts w:ascii="宋体" w:hAnsi="宋体" w:cs="宋体"/>
          <w:color w:val="auto"/>
          <w:sz w:val="24"/>
          <w:szCs w:val="24"/>
        </w:rPr>
      </w:pPr>
      <w:r>
        <w:rPr>
          <w:rFonts w:hint="eastAsia" w:ascii="宋体" w:hAnsi="宋体" w:cs="宋体"/>
          <w:color w:val="auto"/>
          <w:sz w:val="24"/>
          <w:szCs w:val="24"/>
        </w:rPr>
        <w:t>28.2  投标人对投标文件的补充、修改，应按本须知第25条、第26条和第27条有关规定密封、标记和提交，并在投标文件密封袋上清楚标明“补充”、“修改”字样。</w:t>
      </w:r>
    </w:p>
    <w:p>
      <w:pPr>
        <w:spacing w:line="440" w:lineRule="exact"/>
        <w:jc w:val="left"/>
        <w:rPr>
          <w:rFonts w:ascii="宋体" w:hAnsi="宋体" w:cs="宋体"/>
          <w:color w:val="auto"/>
          <w:sz w:val="24"/>
          <w:szCs w:val="24"/>
        </w:rPr>
      </w:pPr>
      <w:r>
        <w:rPr>
          <w:rFonts w:hint="eastAsia" w:ascii="宋体" w:hAnsi="宋体" w:cs="宋体"/>
          <w:color w:val="auto"/>
          <w:sz w:val="24"/>
          <w:szCs w:val="24"/>
        </w:rPr>
        <w:t>28.3  在投标截止时间之后，投标人不得补充、修改投标文件。</w:t>
      </w:r>
    </w:p>
    <w:p>
      <w:pPr>
        <w:spacing w:before="95" w:beforeLines="30" w:after="95" w:afterLines="30" w:line="440" w:lineRule="exact"/>
        <w:jc w:val="center"/>
        <w:outlineLvl w:val="1"/>
        <w:rPr>
          <w:rFonts w:ascii="宋体" w:hAnsi="宋体" w:cs="宋体"/>
          <w:b/>
          <w:bCs/>
          <w:color w:val="auto"/>
          <w:sz w:val="24"/>
          <w:szCs w:val="24"/>
        </w:rPr>
      </w:pPr>
      <w:bookmarkStart w:id="44" w:name="_Toc18173"/>
      <w:r>
        <w:rPr>
          <w:rFonts w:hint="eastAsia" w:ascii="宋体" w:hAnsi="宋体" w:cs="宋体"/>
          <w:b/>
          <w:bCs/>
          <w:color w:val="auto"/>
          <w:sz w:val="24"/>
          <w:szCs w:val="24"/>
        </w:rPr>
        <w:t>五、开标、评标和定标</w:t>
      </w:r>
      <w:bookmarkEnd w:id="44"/>
    </w:p>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29.   开标</w:t>
      </w: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29.1  开标的时间和地点</w:t>
      </w: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29.1.1招标人按本须知第27.1条提交投标文件的截止时间和地点公开开标，并邀请所有投标人参加。</w:t>
      </w: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29.2  参与开标的相关部门：招标人等。</w:t>
      </w: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29.3  对参加开标的投标人的要求</w:t>
      </w:r>
    </w:p>
    <w:p>
      <w:pPr>
        <w:keepNext w:val="0"/>
        <w:keepLines w:val="0"/>
        <w:pageBreakBefore w:val="0"/>
        <w:widowControl w:val="0"/>
        <w:kinsoku/>
        <w:wordWrap/>
        <w:overflowPunct/>
        <w:topLinePunct w:val="0"/>
        <w:autoSpaceDE/>
        <w:autoSpaceDN/>
        <w:bidi w:val="0"/>
        <w:adjustRightInd/>
        <w:snapToGrid/>
        <w:spacing w:line="440" w:lineRule="exact"/>
        <w:ind w:right="-334" w:rightChars="-159"/>
        <w:textAlignment w:val="auto"/>
        <w:rPr>
          <w:rFonts w:hint="eastAsia" w:ascii="宋体" w:hAnsi="宋体" w:eastAsia="宋体" w:cs="宋体"/>
          <w:b/>
          <w:bCs/>
          <w:color w:val="auto"/>
          <w:sz w:val="24"/>
          <w:szCs w:val="24"/>
        </w:rPr>
      </w:pPr>
      <w:r>
        <w:rPr>
          <w:rFonts w:hint="eastAsia" w:ascii="宋体" w:hAnsi="宋体" w:eastAsia="宋体" w:cs="宋体"/>
          <w:color w:val="auto"/>
          <w:sz w:val="24"/>
          <w:szCs w:val="24"/>
        </w:rPr>
        <w:t>29.3.1 投标人的法定代表人（或委托代理人）必须准时参加开标会议</w:t>
      </w:r>
      <w:r>
        <w:rPr>
          <w:rFonts w:hint="eastAsia" w:ascii="宋体" w:hAnsi="宋体" w:eastAsia="宋体" w:cs="宋体"/>
          <w:b/>
          <w:bCs/>
          <w:color w:val="auto"/>
          <w:sz w:val="24"/>
          <w:szCs w:val="24"/>
        </w:rPr>
        <w:t>。</w:t>
      </w: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29.4  开标程序</w:t>
      </w: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 xml:space="preserve"> ①开标会议由招标代理机构：</w:t>
      </w:r>
      <w:r>
        <w:rPr>
          <w:rFonts w:hint="eastAsia" w:ascii="宋体" w:hAnsi="宋体" w:eastAsia="宋体" w:cs="宋体"/>
          <w:color w:val="auto"/>
          <w:sz w:val="24"/>
          <w:szCs w:val="24"/>
          <w:u w:val="single"/>
        </w:rPr>
        <w:t xml:space="preserve"> </w:t>
      </w:r>
      <w:r>
        <w:rPr>
          <w:rFonts w:hint="eastAsia" w:ascii="宋体" w:hAnsi="宋体" w:eastAsia="宋体" w:cs="宋体"/>
          <w:color w:val="auto"/>
          <w:kern w:val="0"/>
          <w:sz w:val="24"/>
          <w:szCs w:val="24"/>
          <w:u w:val="single"/>
        </w:rPr>
        <w:t>滁州市城投工程咨询管理有限公司</w:t>
      </w:r>
      <w:r>
        <w:rPr>
          <w:rFonts w:hint="eastAsia" w:ascii="宋体" w:hAnsi="宋体" w:eastAsia="宋体" w:cs="宋体"/>
          <w:color w:val="auto"/>
          <w:sz w:val="24"/>
          <w:szCs w:val="24"/>
          <w:u w:val="single"/>
        </w:rPr>
        <w:t xml:space="preserve"> </w:t>
      </w:r>
      <w:r>
        <w:rPr>
          <w:rFonts w:hint="eastAsia" w:ascii="宋体" w:hAnsi="宋体" w:eastAsia="宋体" w:cs="宋体"/>
          <w:color w:val="auto"/>
          <w:sz w:val="24"/>
          <w:szCs w:val="24"/>
        </w:rPr>
        <w:t>（招标代理公司）主持；</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 xml:space="preserve"> ②公布在投标截止时间前递交投标文件的投标人名称，并确认投标单位相关人员是否到场；</w:t>
      </w: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 xml:space="preserve"> ③由投标人或其推选的代表检查投标文件的密封情况，也可以由招标人委托的公证机构检查并公证；</w:t>
      </w:r>
    </w:p>
    <w:p>
      <w:pPr>
        <w:keepNext w:val="0"/>
        <w:keepLines w:val="0"/>
        <w:pageBreakBefore w:val="0"/>
        <w:widowControl w:val="0"/>
        <w:kinsoku/>
        <w:wordWrap/>
        <w:overflowPunct/>
        <w:topLinePunct w:val="0"/>
        <w:autoSpaceDE/>
        <w:autoSpaceDN/>
        <w:bidi w:val="0"/>
        <w:adjustRightInd/>
        <w:snapToGrid/>
        <w:spacing w:line="440" w:lineRule="exact"/>
        <w:ind w:firstLine="120" w:firstLineChars="50"/>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 xml:space="preserve"> ④经确认无误后，有关工作人员当众拆封，宣读投标人名称和投标报价等内容；</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 xml:space="preserve">  ⑤经投标文件评审后，由评标委员会按修正后的投标报价由低到高顺序排序，确定中标候选人；</w:t>
      </w: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 xml:space="preserve">  ⑥代理公司对开标过程进行记录，并存档备查。</w:t>
      </w: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30.   评标</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30.1  评标办法</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30.1.1评标委员会按照第三章“评标办法”规定的方法、评审因素、标准和程序对投标文件进行评审。第三章“评标办法”没有规定的方法、评审因素和标准，不作为评标依据。</w:t>
      </w: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31.  否决投标情况</w:t>
      </w: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hint="eastAsia" w:ascii="宋体" w:hAnsi="宋体" w:eastAsia="宋体" w:cs="宋体"/>
          <w:b/>
          <w:bCs/>
          <w:color w:val="auto"/>
          <w:sz w:val="24"/>
          <w:szCs w:val="24"/>
        </w:rPr>
      </w:pPr>
      <w:r>
        <w:rPr>
          <w:rFonts w:hint="eastAsia" w:ascii="宋体" w:hAnsi="宋体" w:eastAsia="宋体" w:cs="宋体"/>
          <w:color w:val="auto"/>
          <w:sz w:val="24"/>
          <w:szCs w:val="24"/>
        </w:rPr>
        <w:t>31.1  投标文件出现下列情形之一的，应当否决其投标：</w:t>
      </w:r>
    </w:p>
    <w:p>
      <w:pPr>
        <w:keepNext w:val="0"/>
        <w:keepLines w:val="0"/>
        <w:pageBreakBefore w:val="0"/>
        <w:widowControl w:val="0"/>
        <w:kinsoku/>
        <w:wordWrap/>
        <w:overflowPunct/>
        <w:topLinePunct w:val="0"/>
        <w:autoSpaceDE/>
        <w:autoSpaceDN/>
        <w:bidi w:val="0"/>
        <w:adjustRightInd/>
        <w:snapToGrid/>
        <w:spacing w:line="440" w:lineRule="exact"/>
        <w:ind w:firstLine="600" w:firstLineChars="250"/>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fldChar w:fldCharType="begin"/>
      </w:r>
      <w:r>
        <w:rPr>
          <w:rFonts w:hint="eastAsia" w:ascii="宋体" w:hAnsi="宋体" w:eastAsia="宋体" w:cs="宋体"/>
          <w:color w:val="auto"/>
          <w:sz w:val="24"/>
          <w:szCs w:val="24"/>
        </w:rPr>
        <w:instrText xml:space="preserve"> eq \o\ac(</w:instrText>
      </w:r>
      <w:r>
        <w:rPr>
          <w:rFonts w:hint="eastAsia" w:ascii="宋体" w:hAnsi="宋体" w:eastAsia="宋体" w:cs="宋体"/>
          <w:color w:val="auto"/>
          <w:position w:val="-4"/>
          <w:sz w:val="36"/>
          <w:szCs w:val="24"/>
        </w:rPr>
        <w:instrText xml:space="preserve">○</w:instrText>
      </w:r>
      <w:r>
        <w:rPr>
          <w:rFonts w:hint="eastAsia" w:ascii="宋体" w:hAnsi="宋体" w:eastAsia="宋体" w:cs="宋体"/>
          <w:color w:val="auto"/>
          <w:position w:val="0"/>
          <w:sz w:val="24"/>
          <w:szCs w:val="24"/>
        </w:rPr>
        <w:instrText xml:space="preserve">,1)</w:instrText>
      </w:r>
      <w:r>
        <w:rPr>
          <w:rFonts w:hint="eastAsia" w:ascii="宋体" w:hAnsi="宋体" w:eastAsia="宋体" w:cs="宋体"/>
          <w:color w:val="auto"/>
          <w:sz w:val="24"/>
          <w:szCs w:val="24"/>
        </w:rPr>
        <w:fldChar w:fldCharType="end"/>
      </w:r>
      <w:r>
        <w:rPr>
          <w:rFonts w:hint="eastAsia" w:ascii="宋体" w:hAnsi="宋体" w:eastAsia="宋体" w:cs="宋体"/>
          <w:color w:val="auto"/>
          <w:sz w:val="24"/>
          <w:szCs w:val="24"/>
        </w:rPr>
        <w:t>逾期送达的或未送达指定地点的；</w:t>
      </w:r>
    </w:p>
    <w:p>
      <w:pPr>
        <w:keepNext w:val="0"/>
        <w:keepLines w:val="0"/>
        <w:pageBreakBefore w:val="0"/>
        <w:widowControl w:val="0"/>
        <w:kinsoku/>
        <w:wordWrap/>
        <w:overflowPunct/>
        <w:topLinePunct w:val="0"/>
        <w:autoSpaceDE/>
        <w:autoSpaceDN/>
        <w:bidi w:val="0"/>
        <w:adjustRightInd/>
        <w:snapToGrid/>
        <w:spacing w:line="440" w:lineRule="exact"/>
        <w:ind w:firstLine="600" w:firstLineChars="250"/>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fldChar w:fldCharType="begin"/>
      </w:r>
      <w:r>
        <w:rPr>
          <w:rFonts w:hint="eastAsia" w:ascii="宋体" w:hAnsi="宋体" w:eastAsia="宋体" w:cs="宋体"/>
          <w:color w:val="auto"/>
          <w:sz w:val="24"/>
          <w:szCs w:val="24"/>
        </w:rPr>
        <w:instrText xml:space="preserve"> eq \o\ac(</w:instrText>
      </w:r>
      <w:r>
        <w:rPr>
          <w:rFonts w:hint="eastAsia" w:ascii="宋体" w:hAnsi="宋体" w:eastAsia="宋体" w:cs="宋体"/>
          <w:color w:val="auto"/>
          <w:position w:val="-4"/>
          <w:sz w:val="36"/>
          <w:szCs w:val="24"/>
        </w:rPr>
        <w:instrText xml:space="preserve">○</w:instrText>
      </w:r>
      <w:r>
        <w:rPr>
          <w:rFonts w:hint="eastAsia" w:ascii="宋体" w:hAnsi="宋体" w:eastAsia="宋体" w:cs="宋体"/>
          <w:color w:val="auto"/>
          <w:position w:val="0"/>
          <w:sz w:val="24"/>
          <w:szCs w:val="24"/>
        </w:rPr>
        <w:instrText xml:space="preserve">,2)</w:instrText>
      </w:r>
      <w:r>
        <w:rPr>
          <w:rFonts w:hint="eastAsia" w:ascii="宋体" w:hAnsi="宋体" w:eastAsia="宋体" w:cs="宋体"/>
          <w:color w:val="auto"/>
          <w:sz w:val="24"/>
          <w:szCs w:val="24"/>
        </w:rPr>
        <w:fldChar w:fldCharType="end"/>
      </w:r>
      <w:r>
        <w:rPr>
          <w:rFonts w:hint="eastAsia" w:ascii="宋体" w:hAnsi="宋体" w:eastAsia="宋体" w:cs="宋体"/>
          <w:color w:val="auto"/>
          <w:sz w:val="24"/>
          <w:szCs w:val="24"/>
        </w:rPr>
        <w:t>未按招标文件要求密封的；</w:t>
      </w:r>
    </w:p>
    <w:p>
      <w:pPr>
        <w:keepNext w:val="0"/>
        <w:keepLines w:val="0"/>
        <w:pageBreakBefore w:val="0"/>
        <w:widowControl w:val="0"/>
        <w:kinsoku/>
        <w:wordWrap/>
        <w:overflowPunct/>
        <w:topLinePunct w:val="0"/>
        <w:autoSpaceDE/>
        <w:autoSpaceDN/>
        <w:bidi w:val="0"/>
        <w:adjustRightInd/>
        <w:snapToGrid/>
        <w:spacing w:line="440" w:lineRule="exact"/>
        <w:ind w:firstLine="600" w:firstLineChars="250"/>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fldChar w:fldCharType="begin"/>
      </w:r>
      <w:r>
        <w:rPr>
          <w:rFonts w:hint="eastAsia" w:ascii="宋体" w:hAnsi="宋体" w:eastAsia="宋体" w:cs="宋体"/>
          <w:color w:val="auto"/>
          <w:sz w:val="24"/>
          <w:szCs w:val="24"/>
        </w:rPr>
        <w:instrText xml:space="preserve"> eq \o\ac(</w:instrText>
      </w:r>
      <w:r>
        <w:rPr>
          <w:rFonts w:hint="eastAsia" w:ascii="宋体" w:hAnsi="宋体" w:eastAsia="宋体" w:cs="宋体"/>
          <w:color w:val="auto"/>
          <w:position w:val="-4"/>
          <w:sz w:val="36"/>
          <w:szCs w:val="24"/>
        </w:rPr>
        <w:instrText xml:space="preserve">○</w:instrText>
      </w:r>
      <w:r>
        <w:rPr>
          <w:rFonts w:hint="eastAsia" w:ascii="宋体" w:hAnsi="宋体" w:eastAsia="宋体" w:cs="宋体"/>
          <w:color w:val="auto"/>
          <w:position w:val="0"/>
          <w:sz w:val="24"/>
          <w:szCs w:val="24"/>
        </w:rPr>
        <w:instrText xml:space="preserve">,3)</w:instrText>
      </w:r>
      <w:r>
        <w:rPr>
          <w:rFonts w:hint="eastAsia" w:ascii="宋体" w:hAnsi="宋体" w:eastAsia="宋体" w:cs="宋体"/>
          <w:color w:val="auto"/>
          <w:sz w:val="24"/>
          <w:szCs w:val="24"/>
        </w:rPr>
        <w:fldChar w:fldCharType="end"/>
      </w:r>
      <w:r>
        <w:rPr>
          <w:rFonts w:hint="eastAsia" w:ascii="宋体" w:hAnsi="宋体" w:eastAsia="宋体" w:cs="宋体"/>
          <w:color w:val="auto"/>
          <w:sz w:val="24"/>
          <w:szCs w:val="24"/>
        </w:rPr>
        <w:t>无单位盖章、无法定代表人或法定代表人授权的代理人签字或盖章的；</w:t>
      </w:r>
    </w:p>
    <w:p>
      <w:pPr>
        <w:keepNext w:val="0"/>
        <w:keepLines w:val="0"/>
        <w:pageBreakBefore w:val="0"/>
        <w:widowControl w:val="0"/>
        <w:kinsoku/>
        <w:wordWrap/>
        <w:overflowPunct/>
        <w:topLinePunct w:val="0"/>
        <w:autoSpaceDE/>
        <w:autoSpaceDN/>
        <w:bidi w:val="0"/>
        <w:adjustRightInd/>
        <w:snapToGrid/>
        <w:spacing w:line="440" w:lineRule="exact"/>
        <w:ind w:firstLine="600" w:firstLineChars="250"/>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fldChar w:fldCharType="begin"/>
      </w:r>
      <w:r>
        <w:rPr>
          <w:rFonts w:hint="eastAsia" w:ascii="宋体" w:hAnsi="宋体" w:eastAsia="宋体" w:cs="宋体"/>
          <w:color w:val="auto"/>
          <w:sz w:val="24"/>
          <w:szCs w:val="24"/>
        </w:rPr>
        <w:instrText xml:space="preserve"> eq \o\ac(</w:instrText>
      </w:r>
      <w:r>
        <w:rPr>
          <w:rFonts w:hint="eastAsia" w:ascii="宋体" w:hAnsi="宋体" w:eastAsia="宋体" w:cs="宋体"/>
          <w:color w:val="auto"/>
          <w:position w:val="-4"/>
          <w:sz w:val="36"/>
          <w:szCs w:val="24"/>
        </w:rPr>
        <w:instrText xml:space="preserve">○</w:instrText>
      </w:r>
      <w:r>
        <w:rPr>
          <w:rFonts w:hint="eastAsia" w:ascii="宋体" w:hAnsi="宋体" w:eastAsia="宋体" w:cs="宋体"/>
          <w:color w:val="auto"/>
          <w:position w:val="0"/>
          <w:sz w:val="24"/>
          <w:szCs w:val="24"/>
        </w:rPr>
        <w:instrText xml:space="preserve">,4)</w:instrText>
      </w:r>
      <w:r>
        <w:rPr>
          <w:rFonts w:hint="eastAsia" w:ascii="宋体" w:hAnsi="宋体" w:eastAsia="宋体" w:cs="宋体"/>
          <w:color w:val="auto"/>
          <w:sz w:val="24"/>
          <w:szCs w:val="24"/>
        </w:rPr>
        <w:fldChar w:fldCharType="end"/>
      </w:r>
      <w:r>
        <w:rPr>
          <w:rFonts w:hint="eastAsia" w:ascii="宋体" w:hAnsi="宋体" w:eastAsia="宋体" w:cs="宋体"/>
          <w:color w:val="auto"/>
          <w:sz w:val="24"/>
          <w:szCs w:val="24"/>
        </w:rPr>
        <w:t>未按规定的格式填写，内容不全或关键字迹模糊、无法辨认的；</w:t>
      </w:r>
    </w:p>
    <w:p>
      <w:pPr>
        <w:keepNext w:val="0"/>
        <w:keepLines w:val="0"/>
        <w:pageBreakBefore w:val="0"/>
        <w:widowControl w:val="0"/>
        <w:kinsoku/>
        <w:wordWrap/>
        <w:overflowPunct/>
        <w:topLinePunct w:val="0"/>
        <w:autoSpaceDE/>
        <w:autoSpaceDN/>
        <w:bidi w:val="0"/>
        <w:adjustRightInd/>
        <w:snapToGrid/>
        <w:spacing w:line="440" w:lineRule="exact"/>
        <w:ind w:firstLine="600" w:firstLineChars="250"/>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⑤工期或质量不符合招标文件要求的；</w:t>
      </w:r>
    </w:p>
    <w:p>
      <w:pPr>
        <w:keepNext w:val="0"/>
        <w:keepLines w:val="0"/>
        <w:pageBreakBefore w:val="0"/>
        <w:widowControl w:val="0"/>
        <w:kinsoku/>
        <w:wordWrap/>
        <w:overflowPunct/>
        <w:topLinePunct w:val="0"/>
        <w:autoSpaceDE/>
        <w:autoSpaceDN/>
        <w:bidi w:val="0"/>
        <w:adjustRightInd/>
        <w:snapToGrid/>
        <w:spacing w:line="440" w:lineRule="exact"/>
        <w:ind w:firstLine="600" w:firstLineChars="250"/>
        <w:jc w:val="left"/>
        <w:textAlignment w:val="auto"/>
        <w:rPr>
          <w:rFonts w:hint="eastAsia" w:ascii="宋体" w:hAnsi="宋体" w:eastAsia="宋体" w:cs="宋体"/>
          <w:color w:val="auto"/>
          <w:sz w:val="24"/>
          <w:szCs w:val="24"/>
          <w:lang w:eastAsia="zh-CN"/>
        </w:rPr>
      </w:pPr>
      <w:r>
        <w:rPr>
          <w:rFonts w:hint="eastAsia" w:ascii="宋体" w:hAnsi="宋体" w:eastAsia="宋体" w:cs="宋体"/>
          <w:color w:val="auto"/>
          <w:sz w:val="24"/>
          <w:szCs w:val="24"/>
        </w:rPr>
        <w:fldChar w:fldCharType="begin"/>
      </w:r>
      <w:r>
        <w:rPr>
          <w:rFonts w:hint="eastAsia" w:ascii="宋体" w:hAnsi="宋体" w:eastAsia="宋体" w:cs="宋体"/>
          <w:color w:val="auto"/>
          <w:sz w:val="24"/>
          <w:szCs w:val="24"/>
        </w:rPr>
        <w:instrText xml:space="preserve"> eq \o\ac(</w:instrText>
      </w:r>
      <w:r>
        <w:rPr>
          <w:rFonts w:hint="eastAsia" w:ascii="宋体" w:hAnsi="宋体" w:eastAsia="宋体" w:cs="宋体"/>
          <w:color w:val="auto"/>
          <w:position w:val="-4"/>
          <w:sz w:val="36"/>
          <w:szCs w:val="24"/>
        </w:rPr>
        <w:instrText xml:space="preserve">○</w:instrText>
      </w:r>
      <w:r>
        <w:rPr>
          <w:rFonts w:hint="eastAsia" w:ascii="宋体" w:hAnsi="宋体" w:eastAsia="宋体" w:cs="宋体"/>
          <w:color w:val="auto"/>
          <w:position w:val="0"/>
          <w:sz w:val="24"/>
          <w:szCs w:val="24"/>
        </w:rPr>
        <w:instrText xml:space="preserve">,6)</w:instrText>
      </w:r>
      <w:r>
        <w:rPr>
          <w:rFonts w:hint="eastAsia" w:ascii="宋体" w:hAnsi="宋体" w:eastAsia="宋体" w:cs="宋体"/>
          <w:color w:val="auto"/>
          <w:sz w:val="24"/>
          <w:szCs w:val="24"/>
        </w:rPr>
        <w:fldChar w:fldCharType="end"/>
      </w:r>
      <w:r>
        <w:rPr>
          <w:rFonts w:hint="eastAsia" w:ascii="宋体" w:hAnsi="宋体" w:eastAsia="宋体" w:cs="宋体"/>
          <w:color w:val="auto"/>
          <w:sz w:val="24"/>
          <w:szCs w:val="24"/>
        </w:rPr>
        <w:t>未按要求缴纳投标保证金的；</w:t>
      </w:r>
      <w:r>
        <w:rPr>
          <w:rFonts w:hint="eastAsia" w:ascii="宋体" w:hAnsi="宋体" w:eastAsia="宋体" w:cs="宋体"/>
          <w:color w:val="auto"/>
          <w:sz w:val="24"/>
          <w:szCs w:val="24"/>
          <w:lang w:eastAsia="zh-CN"/>
        </w:rPr>
        <w:t>（</w:t>
      </w:r>
      <w:r>
        <w:rPr>
          <w:rFonts w:hint="eastAsia" w:ascii="宋体" w:hAnsi="宋体" w:eastAsia="宋体" w:cs="宋体"/>
          <w:color w:val="auto"/>
          <w:sz w:val="24"/>
          <w:szCs w:val="24"/>
          <w:lang w:val="en-US" w:eastAsia="zh-CN"/>
        </w:rPr>
        <w:t>本项目不采用</w:t>
      </w:r>
      <w:r>
        <w:rPr>
          <w:rFonts w:hint="eastAsia" w:ascii="宋体" w:hAnsi="宋体" w:eastAsia="宋体" w:cs="宋体"/>
          <w:color w:val="auto"/>
          <w:sz w:val="24"/>
          <w:szCs w:val="24"/>
          <w:lang w:eastAsia="zh-CN"/>
        </w:rPr>
        <w:t>）</w:t>
      </w:r>
    </w:p>
    <w:p>
      <w:pPr>
        <w:keepNext w:val="0"/>
        <w:keepLines w:val="0"/>
        <w:pageBreakBefore w:val="0"/>
        <w:widowControl w:val="0"/>
        <w:kinsoku/>
        <w:wordWrap/>
        <w:overflowPunct/>
        <w:topLinePunct w:val="0"/>
        <w:autoSpaceDE/>
        <w:autoSpaceDN/>
        <w:bidi w:val="0"/>
        <w:adjustRightInd/>
        <w:snapToGrid/>
        <w:spacing w:line="440" w:lineRule="exact"/>
        <w:ind w:firstLine="600" w:firstLineChars="250"/>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⑦授权代表未出席开标会议；</w:t>
      </w:r>
    </w:p>
    <w:p>
      <w:pPr>
        <w:keepNext w:val="0"/>
        <w:keepLines w:val="0"/>
        <w:pageBreakBefore w:val="0"/>
        <w:widowControl w:val="0"/>
        <w:kinsoku/>
        <w:wordWrap/>
        <w:overflowPunct/>
        <w:topLinePunct w:val="0"/>
        <w:autoSpaceDE/>
        <w:autoSpaceDN/>
        <w:bidi w:val="0"/>
        <w:adjustRightInd/>
        <w:snapToGrid/>
        <w:spacing w:line="440" w:lineRule="exact"/>
        <w:ind w:firstLine="600" w:firstLineChars="250"/>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⑧法律、法规、规章和招标文件规定的其他否决投标情形。</w:t>
      </w: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32.   定标</w:t>
      </w: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hint="eastAsia" w:ascii="宋体" w:hAnsi="宋体" w:eastAsia="宋体" w:cs="宋体"/>
          <w:color w:val="auto"/>
          <w:sz w:val="24"/>
          <w:szCs w:val="24"/>
          <w:highlight w:val="none"/>
        </w:rPr>
      </w:pPr>
      <w:bookmarkStart w:id="45" w:name="_Toc21491"/>
      <w:r>
        <w:rPr>
          <w:rFonts w:hint="eastAsia" w:ascii="宋体" w:hAnsi="宋体" w:eastAsia="宋体" w:cs="宋体"/>
          <w:color w:val="auto"/>
          <w:sz w:val="24"/>
          <w:szCs w:val="24"/>
          <w:highlight w:val="none"/>
        </w:rPr>
        <w:t xml:space="preserve">   32.1 中标人的确定</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32.1.1除投标人须知前附表规定评标委员会直接确定中标人外，</w:t>
      </w:r>
      <w:r>
        <w:rPr>
          <w:rFonts w:hint="eastAsia" w:ascii="宋体" w:hAnsi="宋体" w:eastAsia="宋体" w:cs="宋体"/>
          <w:color w:val="auto"/>
          <w:sz w:val="24"/>
          <w:szCs w:val="24"/>
          <w:highlight w:val="none"/>
          <w:lang w:eastAsia="zh-CN"/>
        </w:rPr>
        <w:t>招标人</w:t>
      </w:r>
      <w:r>
        <w:rPr>
          <w:rFonts w:hint="eastAsia" w:ascii="宋体" w:hAnsi="宋体" w:eastAsia="宋体" w:cs="宋体"/>
          <w:color w:val="auto"/>
          <w:sz w:val="24"/>
          <w:szCs w:val="24"/>
          <w:highlight w:val="none"/>
        </w:rPr>
        <w:t>依据评标委员会推荐的中标候选人确定中标人，评标委员会推荐中标候选人的人数见投标人须知前附表。</w:t>
      </w:r>
    </w:p>
    <w:p>
      <w:pPr>
        <w:keepNext w:val="0"/>
        <w:keepLines w:val="0"/>
        <w:pageBreakBefore w:val="0"/>
        <w:widowControl w:val="0"/>
        <w:kinsoku/>
        <w:wordWrap/>
        <w:overflowPunct/>
        <w:topLinePunct w:val="0"/>
        <w:autoSpaceDE/>
        <w:autoSpaceDN/>
        <w:bidi w:val="0"/>
        <w:adjustRightInd/>
        <w:snapToGrid/>
        <w:spacing w:line="440" w:lineRule="exact"/>
        <w:ind w:left="120" w:leftChars="57" w:firstLine="360" w:firstLineChars="15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32.1.2中标人确定后，</w:t>
      </w:r>
      <w:r>
        <w:rPr>
          <w:rFonts w:hint="eastAsia" w:ascii="宋体" w:hAnsi="宋体" w:eastAsia="宋体" w:cs="宋体"/>
          <w:color w:val="auto"/>
          <w:sz w:val="24"/>
          <w:szCs w:val="24"/>
          <w:highlight w:val="none"/>
          <w:lang w:eastAsia="zh-CN"/>
        </w:rPr>
        <w:t>招标人</w:t>
      </w:r>
      <w:r>
        <w:rPr>
          <w:rFonts w:hint="eastAsia" w:ascii="宋体" w:hAnsi="宋体" w:eastAsia="宋体" w:cs="宋体"/>
          <w:color w:val="auto"/>
          <w:sz w:val="24"/>
          <w:szCs w:val="24"/>
          <w:highlight w:val="none"/>
        </w:rPr>
        <w:t>应将中标信息在网站上公告。</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32.2 中标通知书</w:t>
      </w:r>
    </w:p>
    <w:p>
      <w:pPr>
        <w:pStyle w:val="17"/>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4"/>
          <w:szCs w:val="24"/>
          <w:highlight w:val="none"/>
        </w:rPr>
        <w:t>32.2.1</w:t>
      </w:r>
      <w:r>
        <w:rPr>
          <w:rFonts w:hint="eastAsia" w:ascii="宋体" w:hAnsi="宋体" w:eastAsia="宋体" w:cs="宋体"/>
          <w:color w:val="auto"/>
          <w:sz w:val="24"/>
          <w:szCs w:val="24"/>
          <w:highlight w:val="none"/>
          <w:lang w:eastAsia="zh-CN"/>
        </w:rPr>
        <w:t>招标人</w:t>
      </w:r>
      <w:r>
        <w:rPr>
          <w:rFonts w:hint="eastAsia" w:ascii="宋体" w:hAnsi="宋体" w:eastAsia="宋体" w:cs="宋体"/>
          <w:color w:val="auto"/>
          <w:sz w:val="24"/>
          <w:szCs w:val="24"/>
          <w:highlight w:val="none"/>
        </w:rPr>
        <w:t>或采购代理机构应在中标人确定之日起2个工作日内，向中标人发出中标通知书。</w:t>
      </w:r>
    </w:p>
    <w:p>
      <w:pPr>
        <w:spacing w:before="95" w:beforeLines="30" w:after="95" w:afterLines="30" w:line="440" w:lineRule="exact"/>
        <w:jc w:val="center"/>
        <w:outlineLvl w:val="1"/>
        <w:rPr>
          <w:rFonts w:ascii="宋体" w:hAnsi="宋体" w:cs="宋体"/>
          <w:b/>
          <w:bCs/>
          <w:color w:val="auto"/>
          <w:sz w:val="24"/>
          <w:szCs w:val="24"/>
        </w:rPr>
      </w:pPr>
      <w:r>
        <w:rPr>
          <w:rFonts w:hint="eastAsia" w:ascii="宋体" w:hAnsi="宋体" w:cs="宋体"/>
          <w:b/>
          <w:bCs/>
          <w:color w:val="auto"/>
          <w:sz w:val="24"/>
          <w:szCs w:val="24"/>
        </w:rPr>
        <w:t>六、合同的授予</w:t>
      </w:r>
      <w:bookmarkEnd w:id="45"/>
    </w:p>
    <w:p>
      <w:pPr>
        <w:spacing w:line="440" w:lineRule="exact"/>
        <w:jc w:val="left"/>
        <w:rPr>
          <w:rFonts w:ascii="宋体" w:hAnsi="宋体" w:cs="宋体"/>
          <w:color w:val="auto"/>
          <w:sz w:val="24"/>
          <w:szCs w:val="24"/>
        </w:rPr>
      </w:pPr>
      <w:r>
        <w:rPr>
          <w:rFonts w:hint="eastAsia" w:ascii="宋体" w:hAnsi="宋体" w:cs="宋体"/>
          <w:color w:val="auto"/>
          <w:sz w:val="24"/>
          <w:szCs w:val="24"/>
        </w:rPr>
        <w:t>33.   合同授予标准</w:t>
      </w:r>
    </w:p>
    <w:p>
      <w:pPr>
        <w:spacing w:line="440" w:lineRule="exact"/>
        <w:jc w:val="left"/>
        <w:rPr>
          <w:rFonts w:ascii="宋体" w:hAnsi="宋体" w:cs="宋体"/>
          <w:b/>
          <w:bCs/>
          <w:color w:val="auto"/>
          <w:sz w:val="24"/>
          <w:szCs w:val="24"/>
        </w:rPr>
      </w:pPr>
      <w:r>
        <w:rPr>
          <w:rFonts w:hint="eastAsia" w:ascii="宋体" w:hAnsi="宋体" w:cs="宋体"/>
          <w:color w:val="auto"/>
          <w:sz w:val="24"/>
          <w:szCs w:val="24"/>
        </w:rPr>
        <w:t>33.1  本招标工程的合同授予按本须知第32条规定所确定的中标人。</w:t>
      </w:r>
    </w:p>
    <w:p>
      <w:pPr>
        <w:spacing w:line="440" w:lineRule="exact"/>
        <w:jc w:val="left"/>
        <w:rPr>
          <w:rFonts w:ascii="宋体" w:hAnsi="宋体" w:cs="宋体"/>
          <w:color w:val="auto"/>
          <w:sz w:val="24"/>
          <w:szCs w:val="24"/>
        </w:rPr>
      </w:pPr>
      <w:r>
        <w:rPr>
          <w:rFonts w:hint="eastAsia" w:ascii="宋体" w:hAnsi="宋体" w:cs="宋体"/>
          <w:color w:val="auto"/>
          <w:sz w:val="24"/>
          <w:szCs w:val="24"/>
        </w:rPr>
        <w:t>34.   合同协议书的签订</w:t>
      </w:r>
    </w:p>
    <w:p>
      <w:pPr>
        <w:spacing w:line="440" w:lineRule="exact"/>
        <w:jc w:val="left"/>
        <w:rPr>
          <w:rFonts w:ascii="宋体" w:hAnsi="宋体" w:cs="宋体"/>
          <w:color w:val="auto"/>
          <w:sz w:val="24"/>
          <w:szCs w:val="24"/>
        </w:rPr>
      </w:pPr>
      <w:r>
        <w:rPr>
          <w:rFonts w:hint="eastAsia" w:ascii="宋体" w:hAnsi="宋体" w:cs="宋体"/>
          <w:color w:val="auto"/>
          <w:sz w:val="24"/>
          <w:szCs w:val="24"/>
        </w:rPr>
        <w:t>34.1  中标通知书发放后</w:t>
      </w:r>
      <w:r>
        <w:rPr>
          <w:rFonts w:hint="eastAsia" w:ascii="宋体" w:hAnsi="宋体" w:cs="宋体"/>
          <w:color w:val="auto"/>
          <w:sz w:val="24"/>
          <w:szCs w:val="24"/>
          <w:lang w:val="en-US" w:eastAsia="zh-CN"/>
        </w:rPr>
        <w:t>30</w:t>
      </w:r>
      <w:r>
        <w:rPr>
          <w:rFonts w:hint="eastAsia" w:ascii="宋体" w:hAnsi="宋体" w:cs="宋体"/>
          <w:color w:val="auto"/>
          <w:sz w:val="24"/>
          <w:szCs w:val="24"/>
        </w:rPr>
        <w:t>日内，按照招标文件和中标人的投标文件订立书面合同。招标人和中标人不得再行订立背离合同实质性内容的其他协议。</w:t>
      </w:r>
    </w:p>
    <w:p>
      <w:pPr>
        <w:spacing w:line="440" w:lineRule="exact"/>
        <w:jc w:val="left"/>
        <w:rPr>
          <w:rFonts w:ascii="宋体" w:hAnsi="宋体" w:cs="宋体"/>
          <w:color w:val="auto"/>
          <w:sz w:val="24"/>
          <w:szCs w:val="24"/>
        </w:rPr>
      </w:pPr>
      <w:r>
        <w:rPr>
          <w:rFonts w:hint="eastAsia" w:ascii="宋体" w:hAnsi="宋体" w:cs="宋体"/>
          <w:color w:val="auto"/>
          <w:sz w:val="24"/>
          <w:szCs w:val="24"/>
        </w:rPr>
        <w:t>34.2  招标人如不按本投标须知第33条的规定与中标人订立合同，或者招标人、中标人订立背离合同实质性内容的协议，招标人应当按给投标人造成的损失予以赔偿，同时依法承担相应法律责任。</w:t>
      </w:r>
    </w:p>
    <w:p>
      <w:pPr>
        <w:spacing w:line="440" w:lineRule="exact"/>
        <w:jc w:val="left"/>
        <w:rPr>
          <w:rFonts w:ascii="宋体" w:hAnsi="宋体" w:cs="宋体"/>
          <w:color w:val="auto"/>
          <w:sz w:val="24"/>
          <w:szCs w:val="24"/>
        </w:rPr>
      </w:pPr>
      <w:r>
        <w:rPr>
          <w:rFonts w:hint="eastAsia" w:ascii="宋体" w:hAnsi="宋体" w:cs="宋体"/>
          <w:color w:val="auto"/>
          <w:sz w:val="24"/>
          <w:szCs w:val="24"/>
        </w:rPr>
        <w:t>34.3  中标人如不按本投标须知第33条的规定与招标人订立合同，则招标人将取消其中标资格，给招标人造成的损失予以赔偿，同时依法承担相应法律责任。</w:t>
      </w:r>
    </w:p>
    <w:p>
      <w:pPr>
        <w:spacing w:line="440" w:lineRule="exact"/>
        <w:jc w:val="left"/>
        <w:rPr>
          <w:rFonts w:ascii="宋体" w:hAnsi="宋体" w:cs="宋体"/>
          <w:color w:val="auto"/>
          <w:sz w:val="24"/>
          <w:szCs w:val="24"/>
        </w:rPr>
      </w:pPr>
      <w:r>
        <w:rPr>
          <w:rFonts w:hint="eastAsia" w:ascii="宋体" w:hAnsi="宋体" w:cs="宋体"/>
          <w:color w:val="auto"/>
          <w:sz w:val="24"/>
          <w:szCs w:val="24"/>
        </w:rPr>
        <w:t>34.4  中标人应当按照合同约定履行义务，完成中标项目的实施，不得将中标项目转让（转包）给他人。</w:t>
      </w:r>
    </w:p>
    <w:p>
      <w:pPr>
        <w:spacing w:line="440" w:lineRule="exact"/>
        <w:jc w:val="left"/>
        <w:rPr>
          <w:rFonts w:ascii="宋体" w:hAnsi="宋体" w:cs="宋体"/>
          <w:color w:val="auto"/>
          <w:sz w:val="24"/>
          <w:szCs w:val="24"/>
        </w:rPr>
      </w:pPr>
      <w:r>
        <w:rPr>
          <w:rFonts w:hint="eastAsia" w:ascii="宋体" w:hAnsi="宋体" w:cs="宋体"/>
          <w:color w:val="auto"/>
          <w:sz w:val="24"/>
          <w:szCs w:val="24"/>
        </w:rPr>
        <w:t>35.履约保证金</w:t>
      </w:r>
    </w:p>
    <w:p>
      <w:pPr>
        <w:spacing w:line="440" w:lineRule="exact"/>
        <w:jc w:val="left"/>
        <w:rPr>
          <w:rFonts w:hint="default" w:ascii="宋体" w:hAnsi="宋体" w:eastAsia="宋体" w:cs="宋体"/>
          <w:color w:val="auto"/>
          <w:sz w:val="24"/>
          <w:szCs w:val="24"/>
          <w:lang w:val="en-US" w:eastAsia="zh-CN"/>
        </w:rPr>
      </w:pPr>
      <w:r>
        <w:rPr>
          <w:rFonts w:hint="eastAsia" w:ascii="宋体" w:hAnsi="宋体" w:cs="宋体"/>
          <w:color w:val="auto"/>
          <w:sz w:val="24"/>
          <w:szCs w:val="24"/>
        </w:rPr>
        <w:t>35.1</w:t>
      </w:r>
      <w:r>
        <w:rPr>
          <w:rFonts w:hint="eastAsia" w:ascii="宋体" w:hAnsi="宋体" w:cs="宋体"/>
          <w:color w:val="auto"/>
          <w:sz w:val="24"/>
          <w:szCs w:val="24"/>
          <w:lang w:val="en-US" w:eastAsia="zh-CN"/>
        </w:rPr>
        <w:t>详见须知前附表</w:t>
      </w:r>
    </w:p>
    <w:p>
      <w:pPr>
        <w:adjustRightInd w:val="0"/>
        <w:snapToGrid w:val="0"/>
        <w:spacing w:line="440" w:lineRule="exact"/>
        <w:jc w:val="center"/>
        <w:rPr>
          <w:rFonts w:hint="eastAsia" w:ascii="黑体" w:eastAsia="黑体"/>
          <w:color w:val="auto"/>
          <w:sz w:val="28"/>
          <w:szCs w:val="28"/>
          <w:highlight w:val="none"/>
        </w:rPr>
      </w:pPr>
      <w:bookmarkStart w:id="46" w:name="_Toc449028874"/>
    </w:p>
    <w:p>
      <w:pPr>
        <w:adjustRightInd w:val="0"/>
        <w:snapToGrid w:val="0"/>
        <w:spacing w:line="440" w:lineRule="exact"/>
        <w:jc w:val="center"/>
        <w:rPr>
          <w:rFonts w:hint="eastAsia" w:ascii="黑体" w:eastAsia="黑体"/>
          <w:color w:val="auto"/>
          <w:sz w:val="28"/>
          <w:szCs w:val="28"/>
          <w:highlight w:val="none"/>
        </w:rPr>
      </w:pPr>
      <w:r>
        <w:rPr>
          <w:rFonts w:hint="eastAsia" w:ascii="宋体" w:hAnsi="宋体" w:eastAsia="宋体" w:cs="宋体"/>
          <w:b/>
          <w:bCs/>
          <w:color w:val="auto"/>
          <w:sz w:val="24"/>
          <w:szCs w:val="24"/>
          <w:lang w:val="en-US" w:eastAsia="zh-CN"/>
        </w:rPr>
        <w:t>七、</w:t>
      </w:r>
      <w:r>
        <w:rPr>
          <w:rFonts w:hint="eastAsia" w:ascii="宋体" w:hAnsi="宋体" w:eastAsia="宋体" w:cs="宋体"/>
          <w:b/>
          <w:bCs/>
          <w:color w:val="auto"/>
          <w:sz w:val="24"/>
          <w:szCs w:val="24"/>
        </w:rPr>
        <w:t>纪律和监督</w:t>
      </w:r>
      <w:bookmarkEnd w:id="46"/>
    </w:p>
    <w:p>
      <w:pPr>
        <w:spacing w:line="440" w:lineRule="exact"/>
        <w:ind w:firstLine="354" w:firstLineChars="147"/>
        <w:jc w:val="left"/>
        <w:rPr>
          <w:rFonts w:hint="eastAsia" w:ascii="宋体"/>
          <w:b/>
          <w:color w:val="auto"/>
          <w:sz w:val="24"/>
          <w:szCs w:val="24"/>
          <w:highlight w:val="none"/>
        </w:rPr>
      </w:pPr>
      <w:r>
        <w:rPr>
          <w:rFonts w:hint="eastAsia" w:ascii="宋体"/>
          <w:b/>
          <w:color w:val="auto"/>
          <w:sz w:val="24"/>
          <w:szCs w:val="24"/>
          <w:highlight w:val="none"/>
        </w:rPr>
        <w:t>37. 对</w:t>
      </w:r>
      <w:r>
        <w:rPr>
          <w:rFonts w:hint="eastAsia" w:ascii="宋体"/>
          <w:b/>
          <w:color w:val="auto"/>
          <w:sz w:val="24"/>
          <w:szCs w:val="24"/>
          <w:highlight w:val="none"/>
          <w:lang w:eastAsia="zh-CN"/>
        </w:rPr>
        <w:t>招标人</w:t>
      </w:r>
      <w:r>
        <w:rPr>
          <w:rFonts w:hint="eastAsia" w:ascii="宋体"/>
          <w:b/>
          <w:color w:val="auto"/>
          <w:sz w:val="24"/>
          <w:szCs w:val="24"/>
          <w:highlight w:val="none"/>
        </w:rPr>
        <w:t xml:space="preserve">的纪律要求 </w:t>
      </w:r>
    </w:p>
    <w:p>
      <w:pPr>
        <w:adjustRightInd w:val="0"/>
        <w:snapToGrid w:val="0"/>
        <w:spacing w:line="440" w:lineRule="exact"/>
        <w:ind w:firstLine="360" w:firstLineChars="150"/>
        <w:rPr>
          <w:rFonts w:hint="eastAsia" w:ascii="宋体"/>
          <w:color w:val="auto"/>
          <w:kern w:val="10"/>
          <w:sz w:val="24"/>
          <w:szCs w:val="24"/>
          <w:highlight w:val="none"/>
        </w:rPr>
      </w:pPr>
      <w:r>
        <w:rPr>
          <w:rFonts w:hint="eastAsia" w:ascii="宋体"/>
          <w:color w:val="auto"/>
          <w:kern w:val="10"/>
          <w:sz w:val="24"/>
          <w:szCs w:val="24"/>
          <w:highlight w:val="none"/>
        </w:rPr>
        <w:t>37.1</w:t>
      </w:r>
      <w:r>
        <w:rPr>
          <w:rFonts w:hint="eastAsia" w:ascii="宋体"/>
          <w:color w:val="auto"/>
          <w:kern w:val="10"/>
          <w:sz w:val="24"/>
          <w:szCs w:val="24"/>
          <w:highlight w:val="none"/>
          <w:lang w:eastAsia="zh-CN"/>
        </w:rPr>
        <w:t>招标人</w:t>
      </w:r>
      <w:r>
        <w:rPr>
          <w:rFonts w:hint="eastAsia" w:ascii="宋体"/>
          <w:color w:val="auto"/>
          <w:kern w:val="10"/>
          <w:sz w:val="24"/>
          <w:szCs w:val="24"/>
          <w:highlight w:val="none"/>
        </w:rPr>
        <w:t xml:space="preserve">不得泄漏招标投标活动中应当保密的情况和资料，不得与投标人串通损害国家利益，社会公共利益或者他人合法权益。 </w:t>
      </w:r>
    </w:p>
    <w:p>
      <w:pPr>
        <w:spacing w:line="440" w:lineRule="exact"/>
        <w:ind w:firstLine="354" w:firstLineChars="147"/>
        <w:jc w:val="left"/>
        <w:rPr>
          <w:rFonts w:hint="eastAsia" w:ascii="宋体"/>
          <w:b/>
          <w:color w:val="auto"/>
          <w:sz w:val="24"/>
          <w:szCs w:val="24"/>
          <w:highlight w:val="none"/>
        </w:rPr>
      </w:pPr>
      <w:r>
        <w:rPr>
          <w:rFonts w:hint="eastAsia" w:ascii="宋体"/>
          <w:b/>
          <w:color w:val="auto"/>
          <w:sz w:val="24"/>
          <w:szCs w:val="24"/>
          <w:highlight w:val="none"/>
        </w:rPr>
        <w:t xml:space="preserve">38. 对投标人的纪律要求 </w:t>
      </w:r>
    </w:p>
    <w:p>
      <w:pPr>
        <w:adjustRightInd w:val="0"/>
        <w:snapToGrid w:val="0"/>
        <w:spacing w:line="440" w:lineRule="exact"/>
        <w:ind w:firstLine="360" w:firstLineChars="150"/>
        <w:rPr>
          <w:rFonts w:hint="eastAsia" w:ascii="宋体"/>
          <w:color w:val="auto"/>
          <w:kern w:val="10"/>
          <w:sz w:val="24"/>
          <w:szCs w:val="24"/>
          <w:highlight w:val="none"/>
        </w:rPr>
      </w:pPr>
      <w:r>
        <w:rPr>
          <w:rFonts w:hint="eastAsia" w:ascii="宋体"/>
          <w:color w:val="auto"/>
          <w:kern w:val="10"/>
          <w:sz w:val="24"/>
          <w:szCs w:val="24"/>
          <w:highlight w:val="none"/>
        </w:rPr>
        <w:t>38.1投标人不得相互串通投标或者与</w:t>
      </w:r>
      <w:r>
        <w:rPr>
          <w:rFonts w:hint="eastAsia" w:ascii="宋体"/>
          <w:color w:val="auto"/>
          <w:kern w:val="10"/>
          <w:sz w:val="24"/>
          <w:szCs w:val="24"/>
          <w:highlight w:val="none"/>
          <w:lang w:eastAsia="zh-CN"/>
        </w:rPr>
        <w:t>招标人</w:t>
      </w:r>
      <w:r>
        <w:rPr>
          <w:rFonts w:hint="eastAsia" w:ascii="宋体"/>
          <w:color w:val="auto"/>
          <w:kern w:val="10"/>
          <w:sz w:val="24"/>
          <w:szCs w:val="24"/>
          <w:highlight w:val="none"/>
        </w:rPr>
        <w:t>串通投标，不得向</w:t>
      </w:r>
      <w:r>
        <w:rPr>
          <w:rFonts w:hint="eastAsia" w:ascii="宋体"/>
          <w:color w:val="auto"/>
          <w:kern w:val="10"/>
          <w:sz w:val="24"/>
          <w:szCs w:val="24"/>
          <w:highlight w:val="none"/>
          <w:lang w:eastAsia="zh-CN"/>
        </w:rPr>
        <w:t>招标人</w:t>
      </w:r>
      <w:r>
        <w:rPr>
          <w:rFonts w:hint="eastAsia" w:ascii="宋体"/>
          <w:color w:val="auto"/>
          <w:kern w:val="10"/>
          <w:sz w:val="24"/>
          <w:szCs w:val="24"/>
          <w:highlight w:val="none"/>
        </w:rPr>
        <w:t>或者评标委员会成员行贿谋取中标，不得以他人名义投标或者以其他方式弄虚作假骗取中标；投标人不得以任何方式干扰、影响评标工作。</w:t>
      </w:r>
    </w:p>
    <w:p>
      <w:pPr>
        <w:spacing w:line="440" w:lineRule="exact"/>
        <w:ind w:firstLine="354" w:firstLineChars="147"/>
        <w:jc w:val="left"/>
        <w:rPr>
          <w:rFonts w:hint="eastAsia" w:ascii="宋体"/>
          <w:b/>
          <w:color w:val="auto"/>
          <w:sz w:val="24"/>
          <w:szCs w:val="24"/>
          <w:highlight w:val="none"/>
        </w:rPr>
      </w:pPr>
      <w:r>
        <w:rPr>
          <w:rFonts w:hint="eastAsia" w:ascii="宋体"/>
          <w:b/>
          <w:color w:val="auto"/>
          <w:sz w:val="24"/>
          <w:szCs w:val="24"/>
          <w:highlight w:val="none"/>
        </w:rPr>
        <w:t xml:space="preserve">39. 对评标委员会成员的纪律要求 </w:t>
      </w:r>
    </w:p>
    <w:p>
      <w:pPr>
        <w:adjustRightInd w:val="0"/>
        <w:snapToGrid w:val="0"/>
        <w:spacing w:line="440" w:lineRule="exact"/>
        <w:ind w:firstLine="360" w:firstLineChars="150"/>
        <w:rPr>
          <w:rFonts w:hint="eastAsia" w:ascii="宋体"/>
          <w:color w:val="auto"/>
          <w:kern w:val="10"/>
          <w:sz w:val="24"/>
          <w:szCs w:val="24"/>
          <w:highlight w:val="none"/>
        </w:rPr>
      </w:pPr>
      <w:r>
        <w:rPr>
          <w:rFonts w:hint="eastAsia" w:ascii="宋体"/>
          <w:color w:val="auto"/>
          <w:kern w:val="10"/>
          <w:sz w:val="24"/>
          <w:szCs w:val="24"/>
          <w:highlight w:val="none"/>
        </w:rPr>
        <w:t>39.1评标委员会成员不得收受他人的财物或者其他好处，不得向他人透漏对投标文件的评审和比较、中标候选人的推荐情况以及评标有关的其他情况。</w:t>
      </w:r>
    </w:p>
    <w:p>
      <w:pPr>
        <w:adjustRightInd w:val="0"/>
        <w:snapToGrid w:val="0"/>
        <w:spacing w:line="440" w:lineRule="exact"/>
        <w:ind w:firstLine="360" w:firstLineChars="150"/>
        <w:rPr>
          <w:rFonts w:hint="eastAsia" w:ascii="宋体"/>
          <w:color w:val="auto"/>
          <w:kern w:val="10"/>
          <w:sz w:val="24"/>
          <w:szCs w:val="24"/>
          <w:highlight w:val="none"/>
        </w:rPr>
      </w:pPr>
      <w:r>
        <w:rPr>
          <w:rFonts w:hint="eastAsia" w:ascii="宋体"/>
          <w:color w:val="auto"/>
          <w:kern w:val="10"/>
          <w:sz w:val="24"/>
          <w:szCs w:val="24"/>
          <w:highlight w:val="none"/>
        </w:rPr>
        <w:t xml:space="preserve">39.2在评标活动中，评标委员会成员不得擅离职守，影响评标程序正常进行，不得使用第三章“评标办法”没有规定的评审因素和标准进行评标。 </w:t>
      </w:r>
    </w:p>
    <w:p>
      <w:pPr>
        <w:spacing w:line="440" w:lineRule="exact"/>
        <w:ind w:firstLine="354" w:firstLineChars="147"/>
        <w:jc w:val="left"/>
        <w:rPr>
          <w:rFonts w:hint="eastAsia" w:ascii="宋体"/>
          <w:b/>
          <w:color w:val="auto"/>
          <w:sz w:val="24"/>
          <w:szCs w:val="24"/>
          <w:highlight w:val="none"/>
        </w:rPr>
      </w:pPr>
      <w:r>
        <w:rPr>
          <w:rFonts w:hint="eastAsia" w:ascii="宋体"/>
          <w:b/>
          <w:color w:val="auto"/>
          <w:sz w:val="24"/>
          <w:szCs w:val="24"/>
          <w:highlight w:val="none"/>
        </w:rPr>
        <w:t xml:space="preserve">40. 对与评标活动有关的工作人员的纪律要求 </w:t>
      </w:r>
    </w:p>
    <w:p>
      <w:pPr>
        <w:adjustRightInd w:val="0"/>
        <w:snapToGrid w:val="0"/>
        <w:spacing w:line="440" w:lineRule="exact"/>
        <w:ind w:firstLine="360" w:firstLineChars="150"/>
        <w:rPr>
          <w:rFonts w:hint="eastAsia" w:ascii="宋体"/>
          <w:color w:val="auto"/>
          <w:kern w:val="10"/>
          <w:sz w:val="24"/>
          <w:szCs w:val="24"/>
          <w:highlight w:val="none"/>
        </w:rPr>
      </w:pPr>
      <w:r>
        <w:rPr>
          <w:rFonts w:hint="eastAsia" w:ascii="宋体"/>
          <w:color w:val="auto"/>
          <w:kern w:val="10"/>
          <w:sz w:val="24"/>
          <w:szCs w:val="24"/>
          <w:highlight w:val="none"/>
        </w:rPr>
        <w:t>40.1与评标活动有关的工作人员不得收受他人的财物或者其他好处，不得向他人透漏对投标文件的评审和比较、中标候选人的推荐情况以及评标有关的其他情况。在评标活动中，与评标活动有关的工作人员不得擅离职守，影响评标程序正常进行。</w:t>
      </w:r>
    </w:p>
    <w:p>
      <w:pPr>
        <w:adjustRightInd w:val="0"/>
        <w:snapToGrid w:val="0"/>
        <w:spacing w:line="440" w:lineRule="exact"/>
        <w:jc w:val="center"/>
        <w:rPr>
          <w:rFonts w:hint="eastAsia" w:ascii="宋体" w:hAnsi="宋体" w:eastAsia="宋体" w:cs="宋体"/>
          <w:b/>
          <w:bCs/>
          <w:color w:val="auto"/>
          <w:sz w:val="24"/>
          <w:szCs w:val="24"/>
          <w:lang w:val="en-US" w:eastAsia="zh-CN"/>
        </w:rPr>
      </w:pPr>
      <w:bookmarkStart w:id="47" w:name="_Toc449028875"/>
    </w:p>
    <w:p>
      <w:pPr>
        <w:adjustRightInd w:val="0"/>
        <w:snapToGrid w:val="0"/>
        <w:spacing w:line="440" w:lineRule="exact"/>
        <w:jc w:val="center"/>
        <w:rPr>
          <w:rFonts w:hint="eastAsia" w:ascii="宋体" w:hAnsi="宋体" w:eastAsia="宋体" w:cs="宋体"/>
          <w:b/>
          <w:bCs/>
          <w:color w:val="auto"/>
          <w:sz w:val="24"/>
          <w:szCs w:val="24"/>
          <w:lang w:val="en-US" w:eastAsia="zh-CN"/>
        </w:rPr>
      </w:pPr>
      <w:r>
        <w:rPr>
          <w:rFonts w:hint="eastAsia" w:ascii="宋体" w:hAnsi="宋体" w:eastAsia="宋体" w:cs="宋体"/>
          <w:b/>
          <w:bCs/>
          <w:color w:val="auto"/>
          <w:sz w:val="24"/>
          <w:szCs w:val="24"/>
          <w:lang w:val="en-US" w:eastAsia="zh-CN"/>
        </w:rPr>
        <w:t>八、质疑与投诉</w:t>
      </w:r>
      <w:bookmarkEnd w:id="47"/>
    </w:p>
    <w:p>
      <w:pPr>
        <w:spacing w:line="380" w:lineRule="exact"/>
        <w:ind w:firstLine="359" w:firstLineChars="149"/>
        <w:jc w:val="left"/>
        <w:rPr>
          <w:rFonts w:hint="eastAsia" w:ascii="宋体" w:hAnsi="宋体" w:eastAsia="宋体"/>
          <w:b/>
          <w:color w:val="auto"/>
          <w:sz w:val="24"/>
          <w:szCs w:val="24"/>
          <w:highlight w:val="none"/>
          <w:lang w:eastAsia="zh-CN"/>
        </w:rPr>
      </w:pPr>
      <w:r>
        <w:rPr>
          <w:rFonts w:hint="eastAsia" w:ascii="宋体" w:hAnsi="宋体"/>
          <w:b/>
          <w:color w:val="auto"/>
          <w:sz w:val="24"/>
          <w:szCs w:val="24"/>
          <w:highlight w:val="none"/>
        </w:rPr>
        <w:t xml:space="preserve">41. </w:t>
      </w:r>
      <w:r>
        <w:rPr>
          <w:rFonts w:hint="eastAsia" w:ascii="宋体" w:hAnsi="宋体"/>
          <w:b/>
          <w:color w:val="auto"/>
          <w:sz w:val="24"/>
          <w:szCs w:val="24"/>
          <w:highlight w:val="none"/>
          <w:lang w:val="en-US" w:eastAsia="zh-CN"/>
        </w:rPr>
        <w:t>异议</w:t>
      </w:r>
    </w:p>
    <w:p>
      <w:pPr>
        <w:spacing w:line="400" w:lineRule="exact"/>
        <w:ind w:firstLine="360" w:firstLineChars="150"/>
        <w:jc w:val="left"/>
        <w:rPr>
          <w:rFonts w:hint="eastAsia" w:ascii="宋体" w:hAnsi="Times New Roman" w:eastAsia="宋体" w:cs="Times New Roman"/>
          <w:color w:val="auto"/>
          <w:kern w:val="10"/>
          <w:sz w:val="24"/>
          <w:szCs w:val="24"/>
          <w:highlight w:val="none"/>
          <w:lang w:eastAsia="zh-CN"/>
        </w:rPr>
      </w:pPr>
      <w:r>
        <w:rPr>
          <w:rFonts w:hint="eastAsia" w:ascii="宋体" w:hAnsi="Times New Roman" w:eastAsia="宋体" w:cs="Times New Roman"/>
          <w:color w:val="auto"/>
          <w:kern w:val="10"/>
          <w:sz w:val="24"/>
          <w:szCs w:val="24"/>
          <w:highlight w:val="none"/>
          <w:lang w:eastAsia="zh-CN"/>
        </w:rPr>
        <w:t>41.1  若投标人或者其他利害关系人对</w:t>
      </w:r>
      <w:r>
        <w:rPr>
          <w:rFonts w:hint="eastAsia" w:ascii="宋体" w:hAnsi="Times New Roman" w:eastAsia="宋体" w:cs="Times New Roman"/>
          <w:color w:val="auto"/>
          <w:kern w:val="10"/>
          <w:sz w:val="24"/>
          <w:szCs w:val="24"/>
          <w:highlight w:val="none"/>
          <w:lang w:val="en-US" w:eastAsia="zh-CN"/>
        </w:rPr>
        <w:t>中标</w:t>
      </w:r>
      <w:r>
        <w:rPr>
          <w:rFonts w:hint="eastAsia" w:ascii="宋体" w:hAnsi="Times New Roman" w:eastAsia="宋体" w:cs="Times New Roman"/>
          <w:color w:val="auto"/>
          <w:kern w:val="10"/>
          <w:sz w:val="24"/>
          <w:szCs w:val="24"/>
          <w:highlight w:val="none"/>
          <w:lang w:eastAsia="zh-CN"/>
        </w:rPr>
        <w:t>结果有异议，可在公示期内以书面形式，并在工作时间内（上午8:00-12:00,下午2:30-5:30）向招标人或招标代理机构提出异议。</w:t>
      </w:r>
    </w:p>
    <w:p>
      <w:pPr>
        <w:spacing w:line="400" w:lineRule="exact"/>
        <w:ind w:firstLine="360" w:firstLineChars="150"/>
        <w:jc w:val="left"/>
        <w:rPr>
          <w:rFonts w:hint="eastAsia" w:ascii="宋体" w:hAnsi="Times New Roman" w:eastAsia="宋体" w:cs="Times New Roman"/>
          <w:color w:val="auto"/>
          <w:kern w:val="10"/>
          <w:sz w:val="24"/>
          <w:szCs w:val="24"/>
          <w:highlight w:val="none"/>
          <w:lang w:eastAsia="zh-CN"/>
        </w:rPr>
      </w:pPr>
      <w:r>
        <w:rPr>
          <w:rFonts w:hint="eastAsia" w:ascii="宋体" w:hAnsi="Times New Roman" w:eastAsia="宋体" w:cs="Times New Roman"/>
          <w:color w:val="auto"/>
          <w:kern w:val="10"/>
          <w:sz w:val="24"/>
          <w:szCs w:val="24"/>
          <w:highlight w:val="none"/>
          <w:lang w:eastAsia="zh-CN"/>
        </w:rPr>
        <w:t>异议应以书面形式实名提出，书面异议材料应当包括以下内容： </w:t>
      </w:r>
      <w:r>
        <w:rPr>
          <w:rFonts w:hint="eastAsia" w:ascii="宋体" w:hAnsi="Times New Roman" w:eastAsia="宋体" w:cs="Times New Roman"/>
          <w:color w:val="auto"/>
          <w:kern w:val="10"/>
          <w:sz w:val="24"/>
          <w:szCs w:val="24"/>
          <w:highlight w:val="none"/>
          <w:lang w:eastAsia="zh-CN"/>
        </w:rPr>
        <w:br w:type="textWrapping"/>
      </w:r>
      <w:r>
        <w:rPr>
          <w:rFonts w:hint="eastAsia" w:ascii="宋体" w:hAnsi="Times New Roman" w:eastAsia="宋体" w:cs="Times New Roman"/>
          <w:color w:val="auto"/>
          <w:kern w:val="10"/>
          <w:sz w:val="24"/>
          <w:szCs w:val="24"/>
          <w:highlight w:val="none"/>
          <w:lang w:eastAsia="zh-CN"/>
        </w:rPr>
        <w:t>  （1）异议人的名称、地址、有效联系方式； </w:t>
      </w:r>
      <w:r>
        <w:rPr>
          <w:rFonts w:hint="eastAsia" w:ascii="宋体" w:hAnsi="Times New Roman" w:eastAsia="宋体" w:cs="Times New Roman"/>
          <w:color w:val="auto"/>
          <w:kern w:val="10"/>
          <w:sz w:val="24"/>
          <w:szCs w:val="24"/>
          <w:highlight w:val="none"/>
          <w:lang w:eastAsia="zh-CN"/>
        </w:rPr>
        <w:br w:type="textWrapping"/>
      </w:r>
      <w:r>
        <w:rPr>
          <w:rFonts w:hint="eastAsia" w:ascii="宋体" w:hAnsi="Times New Roman" w:eastAsia="宋体" w:cs="Times New Roman"/>
          <w:color w:val="auto"/>
          <w:kern w:val="10"/>
          <w:sz w:val="24"/>
          <w:szCs w:val="24"/>
          <w:highlight w:val="none"/>
          <w:lang w:eastAsia="zh-CN"/>
        </w:rPr>
        <w:t>  （2）项目名称、项目编号、标段号（如有）； </w:t>
      </w:r>
      <w:r>
        <w:rPr>
          <w:rFonts w:hint="eastAsia" w:ascii="宋体" w:hAnsi="Times New Roman" w:eastAsia="宋体" w:cs="Times New Roman"/>
          <w:color w:val="auto"/>
          <w:kern w:val="10"/>
          <w:sz w:val="24"/>
          <w:szCs w:val="24"/>
          <w:highlight w:val="none"/>
          <w:lang w:eastAsia="zh-CN"/>
        </w:rPr>
        <w:br w:type="textWrapping"/>
      </w:r>
      <w:r>
        <w:rPr>
          <w:rFonts w:hint="eastAsia" w:ascii="宋体" w:hAnsi="Times New Roman" w:eastAsia="宋体" w:cs="Times New Roman"/>
          <w:color w:val="auto"/>
          <w:kern w:val="10"/>
          <w:sz w:val="24"/>
          <w:szCs w:val="24"/>
          <w:highlight w:val="none"/>
          <w:lang w:eastAsia="zh-CN"/>
        </w:rPr>
        <w:t>  （3）被异议人名称； </w:t>
      </w:r>
      <w:r>
        <w:rPr>
          <w:rFonts w:hint="eastAsia" w:ascii="宋体" w:hAnsi="Times New Roman" w:eastAsia="宋体" w:cs="Times New Roman"/>
          <w:color w:val="auto"/>
          <w:kern w:val="10"/>
          <w:sz w:val="24"/>
          <w:szCs w:val="24"/>
          <w:highlight w:val="none"/>
          <w:lang w:eastAsia="zh-CN"/>
        </w:rPr>
        <w:br w:type="textWrapping"/>
      </w:r>
      <w:r>
        <w:rPr>
          <w:rFonts w:hint="eastAsia" w:ascii="宋体" w:hAnsi="Times New Roman" w:eastAsia="宋体" w:cs="Times New Roman"/>
          <w:color w:val="auto"/>
          <w:kern w:val="10"/>
          <w:sz w:val="24"/>
          <w:szCs w:val="24"/>
          <w:highlight w:val="none"/>
          <w:lang w:eastAsia="zh-CN"/>
        </w:rPr>
        <w:t>  （4）具体的异议事项、基本事实及必要的证明材料； </w:t>
      </w:r>
      <w:r>
        <w:rPr>
          <w:rFonts w:hint="eastAsia" w:ascii="宋体" w:hAnsi="Times New Roman" w:eastAsia="宋体" w:cs="Times New Roman"/>
          <w:color w:val="auto"/>
          <w:kern w:val="10"/>
          <w:sz w:val="24"/>
          <w:szCs w:val="24"/>
          <w:highlight w:val="none"/>
          <w:lang w:eastAsia="zh-CN"/>
        </w:rPr>
        <w:br w:type="textWrapping"/>
      </w:r>
      <w:r>
        <w:rPr>
          <w:rFonts w:hint="eastAsia" w:ascii="宋体" w:hAnsi="Times New Roman" w:eastAsia="宋体" w:cs="Times New Roman"/>
          <w:color w:val="auto"/>
          <w:kern w:val="10"/>
          <w:sz w:val="24"/>
          <w:szCs w:val="24"/>
          <w:highlight w:val="none"/>
          <w:lang w:eastAsia="zh-CN"/>
        </w:rPr>
        <w:t>  （5）明确的请求及主张； </w:t>
      </w:r>
      <w:r>
        <w:rPr>
          <w:rFonts w:hint="eastAsia" w:ascii="宋体" w:hAnsi="Times New Roman" w:eastAsia="宋体" w:cs="Times New Roman"/>
          <w:color w:val="auto"/>
          <w:kern w:val="10"/>
          <w:sz w:val="24"/>
          <w:szCs w:val="24"/>
          <w:highlight w:val="none"/>
          <w:lang w:eastAsia="zh-CN"/>
        </w:rPr>
        <w:br w:type="textWrapping"/>
      </w:r>
      <w:r>
        <w:rPr>
          <w:rFonts w:hint="eastAsia" w:ascii="宋体" w:hAnsi="Times New Roman" w:eastAsia="宋体" w:cs="Times New Roman"/>
          <w:color w:val="auto"/>
          <w:kern w:val="10"/>
          <w:sz w:val="24"/>
          <w:szCs w:val="24"/>
          <w:highlight w:val="none"/>
          <w:lang w:eastAsia="zh-CN"/>
        </w:rPr>
        <w:t>  （6）提起异议的日期。 </w:t>
      </w:r>
      <w:r>
        <w:rPr>
          <w:rFonts w:hint="eastAsia" w:ascii="宋体" w:hAnsi="Times New Roman" w:eastAsia="宋体" w:cs="Times New Roman"/>
          <w:color w:val="auto"/>
          <w:kern w:val="10"/>
          <w:sz w:val="24"/>
          <w:szCs w:val="24"/>
          <w:highlight w:val="none"/>
          <w:lang w:eastAsia="zh-CN"/>
        </w:rPr>
        <w:br w:type="textWrapping"/>
      </w:r>
      <w:r>
        <w:rPr>
          <w:rFonts w:hint="eastAsia" w:ascii="宋体" w:hAnsi="Times New Roman" w:eastAsia="宋体" w:cs="Times New Roman"/>
          <w:color w:val="auto"/>
          <w:kern w:val="10"/>
          <w:sz w:val="24"/>
          <w:szCs w:val="24"/>
          <w:highlight w:val="none"/>
          <w:lang w:eastAsia="zh-CN"/>
        </w:rPr>
        <w:t>  （7）异议人为法人的，应当由法定代表人或授权代表签字并加盖公章；为其他组织或个人的，异议材料须由其主要负责人或者异议人本人签字，并附有效身份证明复印件。 </w:t>
      </w:r>
      <w:r>
        <w:rPr>
          <w:rFonts w:hint="eastAsia" w:ascii="宋体" w:hAnsi="Times New Roman" w:eastAsia="宋体" w:cs="Times New Roman"/>
          <w:color w:val="auto"/>
          <w:kern w:val="10"/>
          <w:sz w:val="24"/>
          <w:szCs w:val="24"/>
          <w:highlight w:val="none"/>
          <w:lang w:eastAsia="zh-CN"/>
        </w:rPr>
        <w:br w:type="textWrapping"/>
      </w:r>
      <w:r>
        <w:rPr>
          <w:rFonts w:hint="eastAsia" w:ascii="宋体" w:hAnsi="Times New Roman" w:eastAsia="宋体" w:cs="Times New Roman"/>
          <w:color w:val="auto"/>
          <w:kern w:val="10"/>
          <w:sz w:val="24"/>
          <w:szCs w:val="24"/>
          <w:highlight w:val="none"/>
          <w:lang w:eastAsia="zh-CN"/>
        </w:rPr>
        <w:t>  （8）异议人需要修改、补充异议材料的，应当在招标人或招标代理机构规定的期限内提交修改或补充材料。 </w:t>
      </w:r>
      <w:r>
        <w:rPr>
          <w:rFonts w:hint="eastAsia" w:ascii="宋体" w:hAnsi="Times New Roman" w:eastAsia="宋体" w:cs="Times New Roman"/>
          <w:color w:val="auto"/>
          <w:kern w:val="10"/>
          <w:sz w:val="24"/>
          <w:szCs w:val="24"/>
          <w:highlight w:val="none"/>
          <w:lang w:eastAsia="zh-CN"/>
        </w:rPr>
        <w:br w:type="textWrapping"/>
      </w:r>
      <w:r>
        <w:rPr>
          <w:rFonts w:hint="eastAsia" w:ascii="宋体" w:hAnsi="Times New Roman" w:eastAsia="宋体" w:cs="Times New Roman"/>
          <w:color w:val="auto"/>
          <w:kern w:val="10"/>
          <w:sz w:val="24"/>
          <w:szCs w:val="24"/>
          <w:highlight w:val="none"/>
          <w:lang w:eastAsia="zh-CN"/>
        </w:rPr>
        <w:t xml:space="preserve">  </w:t>
      </w:r>
      <w:r>
        <w:rPr>
          <w:rFonts w:hint="eastAsia" w:ascii="宋体" w:hAnsi="Times New Roman" w:eastAsia="宋体" w:cs="Times New Roman"/>
          <w:color w:val="auto"/>
          <w:kern w:val="10"/>
          <w:sz w:val="24"/>
          <w:szCs w:val="24"/>
          <w:highlight w:val="none"/>
          <w:lang w:val="en-US" w:eastAsia="zh-CN"/>
        </w:rPr>
        <w:t xml:space="preserve"> 41.2</w:t>
      </w:r>
      <w:r>
        <w:rPr>
          <w:rFonts w:hint="eastAsia" w:ascii="宋体" w:hAnsi="Times New Roman" w:eastAsia="宋体" w:cs="Times New Roman"/>
          <w:color w:val="auto"/>
          <w:kern w:val="10"/>
          <w:sz w:val="24"/>
          <w:szCs w:val="24"/>
          <w:highlight w:val="none"/>
          <w:lang w:eastAsia="zh-CN"/>
        </w:rPr>
        <w:t> </w:t>
      </w:r>
      <w:r>
        <w:rPr>
          <w:rFonts w:hint="eastAsia" w:ascii="宋体" w:hAnsi="Times New Roman" w:eastAsia="宋体" w:cs="Times New Roman"/>
          <w:color w:val="auto"/>
          <w:kern w:val="10"/>
          <w:sz w:val="24"/>
          <w:szCs w:val="24"/>
          <w:highlight w:val="none"/>
          <w:lang w:val="en-US" w:eastAsia="zh-CN"/>
        </w:rPr>
        <w:t xml:space="preserve">  </w:t>
      </w:r>
      <w:r>
        <w:rPr>
          <w:rFonts w:hint="eastAsia" w:ascii="宋体" w:hAnsi="Times New Roman" w:eastAsia="宋体" w:cs="Times New Roman"/>
          <w:color w:val="auto"/>
          <w:kern w:val="10"/>
          <w:sz w:val="24"/>
          <w:szCs w:val="24"/>
          <w:highlight w:val="none"/>
          <w:lang w:eastAsia="zh-CN"/>
        </w:rPr>
        <w:t>有下列情形之一的，不予受理： </w:t>
      </w:r>
      <w:r>
        <w:rPr>
          <w:rFonts w:hint="eastAsia" w:ascii="宋体" w:hAnsi="Times New Roman" w:eastAsia="宋体" w:cs="Times New Roman"/>
          <w:color w:val="auto"/>
          <w:kern w:val="10"/>
          <w:sz w:val="24"/>
          <w:szCs w:val="24"/>
          <w:highlight w:val="none"/>
          <w:lang w:eastAsia="zh-CN"/>
        </w:rPr>
        <w:br w:type="textWrapping"/>
      </w:r>
      <w:r>
        <w:rPr>
          <w:rFonts w:hint="eastAsia" w:ascii="宋体" w:hAnsi="Times New Roman" w:eastAsia="宋体" w:cs="Times New Roman"/>
          <w:color w:val="auto"/>
          <w:kern w:val="10"/>
          <w:sz w:val="24"/>
          <w:szCs w:val="24"/>
          <w:highlight w:val="none"/>
          <w:lang w:eastAsia="zh-CN"/>
        </w:rPr>
        <w:t>  （1）提出异议的主体不是所异议项目投标人或者其他利害关系人的；</w:t>
      </w:r>
    </w:p>
    <w:p>
      <w:pPr>
        <w:numPr>
          <w:ilvl w:val="0"/>
          <w:numId w:val="1"/>
        </w:numPr>
        <w:spacing w:line="400" w:lineRule="exact"/>
        <w:ind w:firstLine="240" w:firstLineChars="100"/>
        <w:jc w:val="left"/>
        <w:rPr>
          <w:rFonts w:hint="eastAsia" w:ascii="宋体" w:hAnsi="Times New Roman" w:eastAsia="宋体" w:cs="Times New Roman"/>
          <w:color w:val="auto"/>
          <w:kern w:val="10"/>
          <w:sz w:val="24"/>
          <w:szCs w:val="24"/>
          <w:highlight w:val="none"/>
          <w:lang w:eastAsia="zh-CN"/>
        </w:rPr>
      </w:pPr>
      <w:r>
        <w:rPr>
          <w:rFonts w:hint="eastAsia" w:ascii="宋体" w:hAnsi="Times New Roman" w:eastAsia="宋体" w:cs="Times New Roman"/>
          <w:color w:val="auto"/>
          <w:kern w:val="10"/>
          <w:sz w:val="24"/>
          <w:szCs w:val="24"/>
          <w:highlight w:val="none"/>
          <w:lang w:eastAsia="zh-CN"/>
        </w:rPr>
        <w:t>对于依法必须招标的项目，未在公示期间提出异议的；</w:t>
      </w:r>
      <w:r>
        <w:rPr>
          <w:rFonts w:hint="eastAsia" w:ascii="宋体" w:hAnsi="Times New Roman" w:eastAsia="宋体" w:cs="Times New Roman"/>
          <w:color w:val="auto"/>
          <w:kern w:val="10"/>
          <w:sz w:val="24"/>
          <w:szCs w:val="24"/>
          <w:highlight w:val="none"/>
          <w:lang w:eastAsia="zh-CN"/>
        </w:rPr>
        <w:br w:type="textWrapping"/>
      </w:r>
      <w:r>
        <w:rPr>
          <w:rFonts w:hint="eastAsia" w:ascii="宋体" w:hAnsi="Times New Roman" w:eastAsia="宋体" w:cs="Times New Roman"/>
          <w:color w:val="auto"/>
          <w:kern w:val="10"/>
          <w:sz w:val="24"/>
          <w:szCs w:val="24"/>
          <w:highlight w:val="none"/>
          <w:lang w:eastAsia="zh-CN"/>
        </w:rPr>
        <w:t>  （3）异议材料不完整的； </w:t>
      </w:r>
      <w:r>
        <w:rPr>
          <w:rFonts w:hint="eastAsia" w:ascii="宋体" w:hAnsi="Times New Roman" w:eastAsia="宋体" w:cs="Times New Roman"/>
          <w:color w:val="auto"/>
          <w:kern w:val="10"/>
          <w:sz w:val="24"/>
          <w:szCs w:val="24"/>
          <w:highlight w:val="none"/>
          <w:lang w:eastAsia="zh-CN"/>
        </w:rPr>
        <w:br w:type="textWrapping"/>
      </w:r>
      <w:r>
        <w:rPr>
          <w:rFonts w:hint="eastAsia" w:ascii="宋体" w:hAnsi="Times New Roman" w:eastAsia="宋体" w:cs="Times New Roman"/>
          <w:color w:val="auto"/>
          <w:kern w:val="10"/>
          <w:sz w:val="24"/>
          <w:szCs w:val="24"/>
          <w:highlight w:val="none"/>
          <w:lang w:eastAsia="zh-CN"/>
        </w:rPr>
        <w:t>  （4）异议事项含有主观猜测等内容且未提供有效线索、难以查证的； </w:t>
      </w:r>
      <w:r>
        <w:rPr>
          <w:rFonts w:hint="eastAsia" w:ascii="宋体" w:hAnsi="Times New Roman" w:eastAsia="宋体" w:cs="Times New Roman"/>
          <w:color w:val="auto"/>
          <w:kern w:val="10"/>
          <w:sz w:val="24"/>
          <w:szCs w:val="24"/>
          <w:highlight w:val="none"/>
          <w:lang w:eastAsia="zh-CN"/>
        </w:rPr>
        <w:br w:type="textWrapping"/>
      </w:r>
      <w:r>
        <w:rPr>
          <w:rFonts w:hint="eastAsia" w:ascii="宋体" w:hAnsi="Times New Roman" w:eastAsia="宋体" w:cs="Times New Roman"/>
          <w:color w:val="auto"/>
          <w:kern w:val="10"/>
          <w:sz w:val="24"/>
          <w:szCs w:val="24"/>
          <w:highlight w:val="none"/>
          <w:lang w:eastAsia="zh-CN"/>
        </w:rPr>
        <w:t>  （5）对其他投标人的投标文件详细内容异议，无法提供合法来源渠道的； </w:t>
      </w:r>
      <w:r>
        <w:rPr>
          <w:rFonts w:hint="eastAsia" w:ascii="宋体" w:hAnsi="Times New Roman" w:eastAsia="宋体" w:cs="Times New Roman"/>
          <w:color w:val="auto"/>
          <w:kern w:val="10"/>
          <w:sz w:val="24"/>
          <w:szCs w:val="24"/>
          <w:highlight w:val="none"/>
          <w:lang w:eastAsia="zh-CN"/>
        </w:rPr>
        <w:br w:type="textWrapping"/>
      </w:r>
      <w:r>
        <w:rPr>
          <w:rFonts w:hint="eastAsia" w:ascii="宋体" w:hAnsi="Times New Roman" w:eastAsia="宋体" w:cs="Times New Roman"/>
          <w:color w:val="auto"/>
          <w:kern w:val="10"/>
          <w:sz w:val="24"/>
          <w:szCs w:val="24"/>
          <w:highlight w:val="none"/>
          <w:lang w:eastAsia="zh-CN"/>
        </w:rPr>
        <w:t>  （6）异议事项已进入投诉处理、行政复议或行政诉讼程序的。</w:t>
      </w:r>
    </w:p>
    <w:p>
      <w:pPr>
        <w:numPr>
          <w:ilvl w:val="0"/>
          <w:numId w:val="0"/>
        </w:numPr>
        <w:spacing w:line="400" w:lineRule="exact"/>
        <w:ind w:firstLine="240" w:firstLineChars="100"/>
        <w:jc w:val="left"/>
        <w:rPr>
          <w:rFonts w:hint="eastAsia" w:ascii="宋体" w:hAnsi="Times New Roman" w:eastAsia="宋体" w:cs="Times New Roman"/>
          <w:color w:val="auto"/>
          <w:kern w:val="10"/>
          <w:sz w:val="24"/>
          <w:szCs w:val="24"/>
          <w:highlight w:val="none"/>
          <w:lang w:eastAsia="zh-CN"/>
        </w:rPr>
      </w:pPr>
      <w:r>
        <w:rPr>
          <w:rFonts w:hint="eastAsia" w:ascii="宋体" w:hAnsi="Times New Roman" w:eastAsia="宋体" w:cs="Times New Roman"/>
          <w:color w:val="auto"/>
          <w:kern w:val="10"/>
          <w:sz w:val="24"/>
          <w:szCs w:val="24"/>
          <w:highlight w:val="none"/>
          <w:lang w:eastAsia="zh-CN"/>
        </w:rPr>
        <w:t>41.3 投标人或其他利害关系人对招标文件有异议的，应在投标截止时间10日前以网上留言或书面形式（包括信函、电报、传真等可以有形的表现所载内容的形式，下同）提出。招标人将在收到异议之日起3日内作出答复。</w:t>
      </w:r>
    </w:p>
    <w:p>
      <w:pPr>
        <w:spacing w:line="400" w:lineRule="exact"/>
        <w:ind w:firstLine="240" w:firstLineChars="100"/>
        <w:jc w:val="left"/>
        <w:rPr>
          <w:rFonts w:hint="eastAsia" w:ascii="宋体" w:hAnsi="Times New Roman" w:eastAsia="宋体" w:cs="Times New Roman"/>
          <w:color w:val="auto"/>
          <w:kern w:val="10"/>
          <w:sz w:val="24"/>
          <w:szCs w:val="24"/>
          <w:highlight w:val="none"/>
          <w:lang w:eastAsia="zh-CN"/>
        </w:rPr>
      </w:pPr>
      <w:r>
        <w:rPr>
          <w:rFonts w:hint="eastAsia" w:ascii="宋体" w:hAnsi="Times New Roman" w:eastAsia="宋体" w:cs="Times New Roman"/>
          <w:color w:val="auto"/>
          <w:kern w:val="10"/>
          <w:sz w:val="24"/>
          <w:szCs w:val="24"/>
          <w:highlight w:val="none"/>
          <w:lang w:eastAsia="zh-CN"/>
        </w:rPr>
        <w:t>41.4投标人对开标有异议的，应当在开标现场提出，招标人当场作出答复，并制作记录。异议与答复应通过电子交易系统进行。</w:t>
      </w:r>
    </w:p>
    <w:p>
      <w:pPr>
        <w:spacing w:line="380" w:lineRule="exact"/>
        <w:ind w:firstLine="359" w:firstLineChars="149"/>
        <w:jc w:val="left"/>
        <w:rPr>
          <w:rFonts w:hint="eastAsia" w:ascii="宋体" w:hAnsi="宋体"/>
          <w:b/>
          <w:color w:val="auto"/>
          <w:sz w:val="24"/>
          <w:szCs w:val="24"/>
          <w:highlight w:val="none"/>
        </w:rPr>
      </w:pPr>
      <w:r>
        <w:rPr>
          <w:rFonts w:hint="eastAsia" w:ascii="宋体" w:hAnsi="宋体"/>
          <w:b/>
          <w:color w:val="auto"/>
          <w:sz w:val="24"/>
          <w:szCs w:val="24"/>
          <w:highlight w:val="none"/>
        </w:rPr>
        <w:t>42. 投诉</w:t>
      </w:r>
    </w:p>
    <w:p>
      <w:pPr>
        <w:spacing w:line="440" w:lineRule="exact"/>
        <w:ind w:firstLine="480" w:firstLineChars="200"/>
        <w:jc w:val="left"/>
        <w:rPr>
          <w:rFonts w:ascii="宋体" w:cs="宋体"/>
          <w:color w:val="auto"/>
          <w:sz w:val="24"/>
          <w:szCs w:val="24"/>
          <w:highlight w:val="none"/>
        </w:rPr>
      </w:pPr>
      <w:r>
        <w:rPr>
          <w:rFonts w:hint="eastAsia" w:ascii="宋体" w:hAnsi="宋体"/>
          <w:color w:val="auto"/>
          <w:sz w:val="24"/>
          <w:szCs w:val="24"/>
          <w:highlight w:val="none"/>
        </w:rPr>
        <w:t>42.1</w:t>
      </w:r>
      <w:r>
        <w:rPr>
          <w:rFonts w:hint="eastAsia" w:ascii="宋体" w:hAnsi="宋体" w:cs="宋体"/>
          <w:color w:val="auto"/>
          <w:sz w:val="24"/>
          <w:szCs w:val="24"/>
          <w:highlight w:val="none"/>
        </w:rPr>
        <w:t>投标人和其他利害关系人认为本次招标活动违反法律、法规和规章规定的，有权向有关行政监督部门投诉。投诉应当有明确的请求和必要的证明材料。</w:t>
      </w:r>
    </w:p>
    <w:p>
      <w:pPr>
        <w:spacing w:line="440" w:lineRule="exact"/>
        <w:ind w:firstLine="480" w:firstLineChars="200"/>
        <w:jc w:val="left"/>
        <w:rPr>
          <w:rFonts w:ascii="宋体" w:cs="宋体"/>
          <w:color w:val="auto"/>
          <w:sz w:val="24"/>
          <w:szCs w:val="24"/>
          <w:highlight w:val="none"/>
        </w:rPr>
      </w:pPr>
      <w:r>
        <w:rPr>
          <w:rFonts w:hint="eastAsia" w:ascii="宋体" w:hAnsi="宋体" w:cs="宋体"/>
          <w:color w:val="auto"/>
          <w:sz w:val="24"/>
          <w:szCs w:val="24"/>
          <w:highlight w:val="none"/>
          <w:lang w:val="en-US" w:eastAsia="zh-CN"/>
        </w:rPr>
        <w:t>42.2</w:t>
      </w:r>
      <w:r>
        <w:rPr>
          <w:rFonts w:hint="eastAsia" w:ascii="宋体" w:hAnsi="宋体" w:cs="宋体"/>
          <w:color w:val="auto"/>
          <w:sz w:val="24"/>
          <w:szCs w:val="24"/>
          <w:highlight w:val="none"/>
        </w:rPr>
        <w:t>投标人和其他利害关系人对评标结果等事项投诉的，应当在开标期间或中标</w:t>
      </w:r>
      <w:r>
        <w:rPr>
          <w:rFonts w:hint="eastAsia" w:ascii="宋体" w:hAnsi="宋体" w:cs="宋体"/>
          <w:color w:val="auto"/>
          <w:sz w:val="24"/>
          <w:szCs w:val="24"/>
          <w:highlight w:val="none"/>
          <w:lang w:val="en-US" w:eastAsia="zh-CN"/>
        </w:rPr>
        <w:t>结果</w:t>
      </w:r>
      <w:r>
        <w:rPr>
          <w:rFonts w:hint="eastAsia" w:ascii="宋体" w:hAnsi="宋体" w:cs="宋体"/>
          <w:color w:val="auto"/>
          <w:sz w:val="24"/>
          <w:szCs w:val="24"/>
          <w:highlight w:val="none"/>
        </w:rPr>
        <w:t>公示期间，先向招标人提出异议。</w:t>
      </w:r>
      <w:r>
        <w:rPr>
          <w:rFonts w:hint="eastAsia" w:ascii="宋体" w:hAnsi="宋体" w:cs="宋体"/>
          <w:b/>
          <w:bCs/>
          <w:color w:val="auto"/>
          <w:sz w:val="24"/>
          <w:szCs w:val="24"/>
          <w:highlight w:val="none"/>
        </w:rPr>
        <w:t>注：一份质疑（异议）函只能针对一个项目提出质疑（异议），且针对同一招标采购程序环节的质疑（异议）应当一次性提出。</w:t>
      </w:r>
    </w:p>
    <w:p>
      <w:pPr>
        <w:rPr>
          <w:rFonts w:ascii="仿宋" w:hAnsi="仿宋" w:eastAsia="仿宋" w:cs="仿宋"/>
          <w:b/>
          <w:color w:val="auto"/>
          <w:sz w:val="24"/>
          <w:szCs w:val="24"/>
        </w:rPr>
      </w:pPr>
      <w:r>
        <w:rPr>
          <w:rFonts w:ascii="宋体"/>
          <w:b/>
          <w:color w:val="auto"/>
          <w:sz w:val="24"/>
          <w:szCs w:val="24"/>
          <w:highlight w:val="none"/>
        </w:rPr>
        <w:br w:type="page"/>
      </w:r>
    </w:p>
    <w:p>
      <w:pPr>
        <w:spacing w:before="156" w:beforeLines="50" w:after="156" w:afterLines="50"/>
        <w:jc w:val="center"/>
        <w:outlineLvl w:val="0"/>
        <w:rPr>
          <w:rFonts w:hint="eastAsia" w:ascii="宋体"/>
          <w:b/>
          <w:color w:val="auto"/>
          <w:sz w:val="32"/>
          <w:szCs w:val="32"/>
          <w:highlight w:val="none"/>
        </w:rPr>
      </w:pPr>
      <w:bookmarkStart w:id="48" w:name="_Toc58430316"/>
      <w:bookmarkStart w:id="49" w:name="_Toc32192"/>
      <w:bookmarkStart w:id="50" w:name="_Toc31589_WPSOffice_Level1"/>
      <w:bookmarkStart w:id="51" w:name="_Toc12737"/>
      <w:bookmarkStart w:id="52" w:name="_Toc3222"/>
      <w:r>
        <w:rPr>
          <w:rFonts w:hint="eastAsia" w:ascii="宋体"/>
          <w:b/>
          <w:color w:val="auto"/>
          <w:sz w:val="32"/>
          <w:szCs w:val="32"/>
          <w:highlight w:val="none"/>
        </w:rPr>
        <w:t>第三章 评标办法（</w:t>
      </w:r>
      <w:r>
        <w:rPr>
          <w:rFonts w:hint="eastAsia" w:ascii="宋体"/>
          <w:b/>
          <w:color w:val="auto"/>
          <w:sz w:val="32"/>
          <w:szCs w:val="32"/>
          <w:highlight w:val="none"/>
          <w:lang w:eastAsia="zh-CN"/>
        </w:rPr>
        <w:t>综合评估法</w:t>
      </w:r>
      <w:r>
        <w:rPr>
          <w:rFonts w:hint="eastAsia" w:ascii="宋体"/>
          <w:b/>
          <w:color w:val="auto"/>
          <w:sz w:val="32"/>
          <w:szCs w:val="32"/>
          <w:highlight w:val="none"/>
        </w:rPr>
        <w:t>）</w:t>
      </w:r>
      <w:bookmarkEnd w:id="48"/>
      <w:bookmarkEnd w:id="49"/>
    </w:p>
    <w:p>
      <w:pPr>
        <w:spacing w:before="156" w:beforeLines="50" w:after="156" w:afterLines="50" w:line="440" w:lineRule="exact"/>
        <w:jc w:val="center"/>
        <w:outlineLvl w:val="1"/>
        <w:rPr>
          <w:rFonts w:hint="eastAsia" w:ascii="宋体"/>
          <w:b/>
          <w:color w:val="auto"/>
          <w:sz w:val="28"/>
          <w:szCs w:val="28"/>
          <w:highlight w:val="none"/>
        </w:rPr>
      </w:pPr>
      <w:bookmarkStart w:id="53" w:name="_Toc362983801"/>
      <w:bookmarkStart w:id="54" w:name="_Toc449028877"/>
      <w:bookmarkStart w:id="55" w:name="_Toc58430317"/>
      <w:bookmarkStart w:id="56" w:name="_Toc267320058"/>
      <w:bookmarkStart w:id="57" w:name="_Toc363135205"/>
      <w:r>
        <w:rPr>
          <w:rFonts w:hint="eastAsia" w:ascii="宋体"/>
          <w:b/>
          <w:color w:val="auto"/>
          <w:sz w:val="28"/>
          <w:szCs w:val="28"/>
          <w:highlight w:val="none"/>
        </w:rPr>
        <w:t>一、总</w:t>
      </w:r>
      <w:r>
        <w:rPr>
          <w:rFonts w:hint="eastAsia" w:ascii="宋体"/>
          <w:b/>
          <w:color w:val="auto"/>
          <w:sz w:val="28"/>
          <w:szCs w:val="28"/>
          <w:highlight w:val="none"/>
          <w:lang w:val="en-US" w:eastAsia="zh-CN"/>
        </w:rPr>
        <w:t xml:space="preserve"> </w:t>
      </w:r>
      <w:r>
        <w:rPr>
          <w:rFonts w:hint="eastAsia" w:ascii="宋体"/>
          <w:b/>
          <w:color w:val="auto"/>
          <w:sz w:val="28"/>
          <w:szCs w:val="28"/>
          <w:highlight w:val="none"/>
        </w:rPr>
        <w:t>则</w:t>
      </w:r>
      <w:bookmarkEnd w:id="53"/>
      <w:bookmarkEnd w:id="54"/>
      <w:bookmarkEnd w:id="55"/>
    </w:p>
    <w:p>
      <w:pPr>
        <w:spacing w:line="440" w:lineRule="exact"/>
        <w:ind w:firstLine="361" w:firstLineChars="150"/>
        <w:jc w:val="left"/>
        <w:rPr>
          <w:rFonts w:hint="eastAsia" w:ascii="宋体" w:eastAsia="宋体"/>
          <w:b/>
          <w:color w:val="auto"/>
          <w:sz w:val="24"/>
          <w:szCs w:val="24"/>
          <w:highlight w:val="none"/>
          <w:lang w:eastAsia="zh-CN"/>
        </w:rPr>
      </w:pPr>
      <w:r>
        <w:rPr>
          <w:rFonts w:hint="eastAsia" w:ascii="宋体"/>
          <w:b/>
          <w:color w:val="auto"/>
          <w:sz w:val="24"/>
          <w:szCs w:val="24"/>
          <w:highlight w:val="none"/>
        </w:rPr>
        <w:t xml:space="preserve"> 1. 本次评标采用</w:t>
      </w:r>
      <w:r>
        <w:rPr>
          <w:rFonts w:hint="eastAsia" w:ascii="宋体"/>
          <w:b/>
          <w:color w:val="auto"/>
          <w:sz w:val="24"/>
          <w:szCs w:val="24"/>
          <w:highlight w:val="none"/>
          <w:lang w:eastAsia="zh-CN"/>
        </w:rPr>
        <w:t>综合评估法</w:t>
      </w:r>
    </w:p>
    <w:p>
      <w:pPr>
        <w:spacing w:line="400" w:lineRule="exact"/>
        <w:ind w:firstLine="480" w:firstLineChars="200"/>
        <w:jc w:val="left"/>
        <w:rPr>
          <w:rFonts w:hint="eastAsia" w:ascii="宋体" w:hAnsi="宋体"/>
          <w:color w:val="auto"/>
          <w:sz w:val="24"/>
          <w:szCs w:val="24"/>
          <w:highlight w:val="none"/>
        </w:rPr>
      </w:pPr>
      <w:r>
        <w:rPr>
          <w:rFonts w:hint="eastAsia" w:ascii="宋体"/>
          <w:color w:val="auto"/>
          <w:sz w:val="24"/>
          <w:szCs w:val="24"/>
          <w:highlight w:val="none"/>
        </w:rPr>
        <w:t>1.1</w:t>
      </w:r>
      <w:r>
        <w:rPr>
          <w:rFonts w:hint="eastAsia" w:ascii="宋体"/>
          <w:color w:val="auto"/>
          <w:sz w:val="24"/>
          <w:szCs w:val="24"/>
          <w:highlight w:val="none"/>
          <w:lang w:eastAsia="zh-CN"/>
        </w:rPr>
        <w:t>综合评估法</w:t>
      </w:r>
      <w:r>
        <w:rPr>
          <w:rFonts w:hint="eastAsia" w:ascii="宋体"/>
          <w:color w:val="auto"/>
          <w:sz w:val="24"/>
          <w:szCs w:val="24"/>
          <w:highlight w:val="none"/>
        </w:rPr>
        <w:t>是指投标文件满足招标文件全部实质性要求且按照评审因素的量化指标评审总得分从高到低的</w:t>
      </w:r>
      <w:r>
        <w:rPr>
          <w:rFonts w:hint="eastAsia" w:ascii="宋体"/>
          <w:color w:val="auto"/>
          <w:sz w:val="24"/>
          <w:szCs w:val="24"/>
          <w:highlight w:val="none"/>
          <w:lang w:eastAsia="zh-CN"/>
        </w:rPr>
        <w:t>投标人</w:t>
      </w:r>
      <w:r>
        <w:rPr>
          <w:rFonts w:hint="eastAsia" w:ascii="宋体"/>
          <w:color w:val="auto"/>
          <w:sz w:val="24"/>
          <w:szCs w:val="24"/>
          <w:highlight w:val="none"/>
        </w:rPr>
        <w:t>为中标候选人的评标方法。</w:t>
      </w:r>
    </w:p>
    <w:p>
      <w:pPr>
        <w:spacing w:line="440" w:lineRule="exact"/>
        <w:ind w:firstLine="480" w:firstLineChars="200"/>
        <w:jc w:val="left"/>
        <w:rPr>
          <w:rFonts w:hint="eastAsia" w:ascii="宋体"/>
          <w:color w:val="auto"/>
          <w:sz w:val="24"/>
          <w:szCs w:val="24"/>
          <w:highlight w:val="none"/>
        </w:rPr>
      </w:pPr>
      <w:r>
        <w:rPr>
          <w:rFonts w:hint="eastAsia" w:ascii="宋体"/>
          <w:color w:val="auto"/>
          <w:sz w:val="24"/>
          <w:szCs w:val="24"/>
          <w:highlight w:val="none"/>
        </w:rPr>
        <w:t xml:space="preserve"> 1.2</w:t>
      </w:r>
      <w:r>
        <w:rPr>
          <w:rFonts w:hint="eastAsia" w:ascii="宋体"/>
          <w:color w:val="auto"/>
          <w:sz w:val="24"/>
          <w:szCs w:val="24"/>
          <w:highlight w:val="none"/>
          <w:lang w:eastAsia="zh-CN"/>
        </w:rPr>
        <w:t>综合评估法</w:t>
      </w:r>
      <w:r>
        <w:rPr>
          <w:rFonts w:hint="eastAsia" w:ascii="宋体"/>
          <w:color w:val="auto"/>
          <w:sz w:val="24"/>
          <w:szCs w:val="24"/>
          <w:highlight w:val="none"/>
        </w:rPr>
        <w:t>一般适用于较为复杂、评价指标难以量化且价格为非主要因素的非标准定制商品和非通用服务项目的项目评审。</w:t>
      </w:r>
    </w:p>
    <w:p>
      <w:pPr>
        <w:spacing w:line="440" w:lineRule="exact"/>
        <w:ind w:firstLine="482" w:firstLineChars="200"/>
        <w:rPr>
          <w:rFonts w:hint="eastAsia" w:ascii="宋体"/>
          <w:b/>
          <w:color w:val="auto"/>
          <w:sz w:val="24"/>
          <w:szCs w:val="24"/>
          <w:highlight w:val="none"/>
        </w:rPr>
      </w:pPr>
      <w:r>
        <w:rPr>
          <w:rFonts w:hint="eastAsia" w:ascii="宋体"/>
          <w:b/>
          <w:color w:val="auto"/>
          <w:sz w:val="24"/>
          <w:szCs w:val="24"/>
          <w:highlight w:val="none"/>
        </w:rPr>
        <w:t>2．评标程序</w:t>
      </w:r>
    </w:p>
    <w:p>
      <w:pPr>
        <w:spacing w:line="440" w:lineRule="exact"/>
        <w:ind w:firstLine="480" w:firstLineChars="200"/>
        <w:rPr>
          <w:rFonts w:hint="eastAsia" w:ascii="宋体"/>
          <w:color w:val="auto"/>
          <w:sz w:val="24"/>
          <w:szCs w:val="24"/>
          <w:highlight w:val="none"/>
        </w:rPr>
      </w:pPr>
      <w:r>
        <w:rPr>
          <w:rFonts w:hint="eastAsia" w:ascii="宋体"/>
          <w:color w:val="auto"/>
          <w:sz w:val="24"/>
          <w:szCs w:val="24"/>
          <w:highlight w:val="none"/>
        </w:rPr>
        <w:t>2.1投标文件的初审</w:t>
      </w:r>
    </w:p>
    <w:p>
      <w:pPr>
        <w:spacing w:line="440" w:lineRule="exact"/>
        <w:ind w:firstLine="480" w:firstLineChars="200"/>
        <w:jc w:val="left"/>
        <w:rPr>
          <w:rFonts w:hint="eastAsia" w:ascii="宋体"/>
          <w:color w:val="auto"/>
          <w:sz w:val="24"/>
          <w:szCs w:val="24"/>
          <w:highlight w:val="none"/>
        </w:rPr>
      </w:pPr>
      <w:r>
        <w:rPr>
          <w:rFonts w:hint="eastAsia" w:ascii="宋体"/>
          <w:color w:val="auto"/>
          <w:sz w:val="24"/>
          <w:szCs w:val="24"/>
          <w:highlight w:val="none"/>
        </w:rPr>
        <w:t xml:space="preserve">2.1.1资格性检查。依据法律法规和招标文件的规定，对投标文件进行审查，以确定投标人是否具备投标资格。 </w:t>
      </w:r>
    </w:p>
    <w:p>
      <w:pPr>
        <w:spacing w:line="440" w:lineRule="exact"/>
        <w:ind w:firstLine="480" w:firstLineChars="200"/>
        <w:jc w:val="left"/>
        <w:rPr>
          <w:rFonts w:hint="eastAsia" w:ascii="宋体"/>
          <w:color w:val="auto"/>
          <w:sz w:val="24"/>
          <w:szCs w:val="24"/>
          <w:highlight w:val="none"/>
        </w:rPr>
      </w:pPr>
      <w:r>
        <w:rPr>
          <w:rFonts w:hint="eastAsia" w:ascii="宋体"/>
          <w:color w:val="auto"/>
          <w:sz w:val="24"/>
          <w:szCs w:val="24"/>
          <w:highlight w:val="none"/>
        </w:rPr>
        <w:t>2.1.2符合性检查。依据招标文件的规定，从投标文件的有效性、完整性和对招标文件的响应程度进行审查，以确定投标人是否对招标文件的实质性要求作出响应。</w:t>
      </w:r>
    </w:p>
    <w:p>
      <w:pPr>
        <w:spacing w:line="440" w:lineRule="exact"/>
        <w:ind w:firstLine="480" w:firstLineChars="200"/>
        <w:rPr>
          <w:rFonts w:hint="eastAsia" w:ascii="宋体"/>
          <w:color w:val="auto"/>
          <w:sz w:val="24"/>
          <w:szCs w:val="24"/>
          <w:highlight w:val="none"/>
        </w:rPr>
      </w:pPr>
      <w:r>
        <w:rPr>
          <w:rFonts w:hint="eastAsia" w:ascii="宋体"/>
          <w:color w:val="auto"/>
          <w:sz w:val="24"/>
          <w:szCs w:val="24"/>
          <w:highlight w:val="none"/>
        </w:rPr>
        <w:t>2.2投标文件的澄清</w:t>
      </w:r>
    </w:p>
    <w:p>
      <w:pPr>
        <w:spacing w:line="440" w:lineRule="exact"/>
        <w:ind w:firstLine="480" w:firstLineChars="200"/>
        <w:rPr>
          <w:rFonts w:hint="eastAsia" w:ascii="宋体"/>
          <w:color w:val="auto"/>
          <w:sz w:val="24"/>
          <w:szCs w:val="24"/>
          <w:highlight w:val="none"/>
        </w:rPr>
      </w:pPr>
      <w:r>
        <w:rPr>
          <w:rFonts w:hint="eastAsia" w:ascii="宋体"/>
          <w:color w:val="auto"/>
          <w:sz w:val="24"/>
          <w:szCs w:val="24"/>
          <w:highlight w:val="none"/>
        </w:rPr>
        <w:t>2.2.1在评标过程中，评标委员会认为需要，在见证人员在场的情况下，可要求投标人对投标文件中的有关问题进行澄清或提供补充说明及有关资料，投标人应做出书面答复。书面答复中不得变更价格、供货期、自报质量等实质性内容。</w:t>
      </w:r>
    </w:p>
    <w:p>
      <w:pPr>
        <w:spacing w:line="440" w:lineRule="exact"/>
        <w:ind w:firstLine="480" w:firstLineChars="200"/>
        <w:rPr>
          <w:rFonts w:hint="eastAsia" w:ascii="宋体"/>
          <w:color w:val="auto"/>
          <w:sz w:val="24"/>
          <w:szCs w:val="24"/>
          <w:highlight w:val="none"/>
        </w:rPr>
      </w:pPr>
      <w:r>
        <w:rPr>
          <w:rFonts w:hint="eastAsia" w:ascii="宋体"/>
          <w:color w:val="auto"/>
          <w:sz w:val="24"/>
          <w:szCs w:val="24"/>
          <w:highlight w:val="none"/>
        </w:rPr>
        <w:t>2.2.2书面答复须经投标人法定代理人或其授权委托代理人的签字或印鉴，签字或盖印鉴的书面答复将视为投标文件的组成部分。投标截止时间后，投标人对投标报价或其它实质性内容修正的函件和增加的任何优惠条件，一律不得作为评标、定标的依据。</w:t>
      </w:r>
    </w:p>
    <w:p>
      <w:pPr>
        <w:spacing w:line="440" w:lineRule="exact"/>
        <w:ind w:firstLine="480" w:firstLineChars="200"/>
        <w:jc w:val="left"/>
        <w:rPr>
          <w:rFonts w:hint="eastAsia" w:ascii="宋体"/>
          <w:color w:val="auto"/>
          <w:sz w:val="24"/>
          <w:szCs w:val="24"/>
          <w:highlight w:val="none"/>
        </w:rPr>
      </w:pPr>
      <w:r>
        <w:rPr>
          <w:rFonts w:hint="eastAsia" w:ascii="宋体"/>
          <w:color w:val="auto"/>
          <w:sz w:val="24"/>
          <w:szCs w:val="24"/>
          <w:highlight w:val="none"/>
        </w:rPr>
        <w:t xml:space="preserve">2.2.3  </w:t>
      </w:r>
      <w:r>
        <w:rPr>
          <w:rFonts w:hint="eastAsia" w:ascii="宋体"/>
          <w:color w:val="auto"/>
          <w:sz w:val="24"/>
          <w:szCs w:val="24"/>
          <w:highlight w:val="none"/>
          <w:lang w:eastAsia="zh-CN"/>
        </w:rPr>
        <w:t>招标人</w:t>
      </w:r>
      <w:r>
        <w:rPr>
          <w:rFonts w:hint="eastAsia" w:ascii="宋体"/>
          <w:color w:val="auto"/>
          <w:sz w:val="24"/>
          <w:szCs w:val="24"/>
          <w:highlight w:val="none"/>
        </w:rPr>
        <w:t>不接受投标人主动提出的澄清。</w:t>
      </w:r>
    </w:p>
    <w:p>
      <w:pPr>
        <w:spacing w:line="440" w:lineRule="exact"/>
        <w:ind w:firstLine="480" w:firstLineChars="200"/>
        <w:rPr>
          <w:rFonts w:hint="eastAsia" w:ascii="宋体"/>
          <w:color w:val="auto"/>
          <w:sz w:val="24"/>
          <w:szCs w:val="24"/>
          <w:highlight w:val="none"/>
        </w:rPr>
      </w:pPr>
      <w:r>
        <w:rPr>
          <w:rFonts w:hint="eastAsia" w:ascii="宋体"/>
          <w:color w:val="auto"/>
          <w:sz w:val="24"/>
          <w:szCs w:val="24"/>
          <w:highlight w:val="none"/>
        </w:rPr>
        <w:t>2.3比较与评价</w:t>
      </w:r>
    </w:p>
    <w:p>
      <w:pPr>
        <w:spacing w:line="440" w:lineRule="exact"/>
        <w:ind w:firstLine="480" w:firstLineChars="200"/>
        <w:jc w:val="left"/>
        <w:rPr>
          <w:rFonts w:hint="eastAsia" w:ascii="宋体"/>
          <w:color w:val="auto"/>
          <w:sz w:val="24"/>
          <w:szCs w:val="24"/>
          <w:highlight w:val="none"/>
        </w:rPr>
      </w:pPr>
      <w:r>
        <w:rPr>
          <w:rFonts w:hint="eastAsia" w:ascii="宋体"/>
          <w:color w:val="auto"/>
          <w:sz w:val="24"/>
          <w:szCs w:val="24"/>
          <w:highlight w:val="none"/>
        </w:rPr>
        <w:t xml:space="preserve">2．3.1按招标文件中规定的评标方法和标准，对资格性检查和符合性检查合格的投标文件进行资信、商务评估，综合比较与评价。 </w:t>
      </w:r>
      <w:r>
        <w:rPr>
          <w:rFonts w:hint="eastAsia" w:ascii="宋体"/>
          <w:color w:val="auto"/>
          <w:sz w:val="24"/>
          <w:szCs w:val="24"/>
          <w:highlight w:val="none"/>
        </w:rPr>
        <w:br w:type="textWrapping"/>
      </w:r>
      <w:r>
        <w:rPr>
          <w:rFonts w:hint="eastAsia" w:ascii="宋体"/>
          <w:color w:val="auto"/>
          <w:sz w:val="24"/>
          <w:szCs w:val="24"/>
          <w:highlight w:val="none"/>
        </w:rPr>
        <w:t xml:space="preserve">    2.4推荐中标候选人名单</w:t>
      </w:r>
    </w:p>
    <w:p>
      <w:pPr>
        <w:spacing w:line="440" w:lineRule="exact"/>
        <w:ind w:firstLine="480" w:firstLineChars="200"/>
        <w:jc w:val="left"/>
        <w:rPr>
          <w:rFonts w:hint="eastAsia" w:ascii="宋体"/>
          <w:color w:val="auto"/>
          <w:sz w:val="24"/>
          <w:szCs w:val="24"/>
          <w:highlight w:val="none"/>
        </w:rPr>
      </w:pPr>
      <w:r>
        <w:rPr>
          <w:rFonts w:hint="eastAsia" w:ascii="宋体"/>
          <w:color w:val="auto"/>
          <w:sz w:val="24"/>
          <w:szCs w:val="24"/>
          <w:highlight w:val="none"/>
        </w:rPr>
        <w:t>2.4.1中标候选人数量应当根据采购需要确定，但必须按顺序排列中标候选人。</w:t>
      </w:r>
    </w:p>
    <w:p>
      <w:pPr>
        <w:spacing w:line="440" w:lineRule="exact"/>
        <w:ind w:firstLine="480" w:firstLineChars="200"/>
        <w:jc w:val="left"/>
        <w:rPr>
          <w:rFonts w:hint="eastAsia" w:ascii="宋体"/>
          <w:color w:val="auto"/>
          <w:sz w:val="24"/>
          <w:szCs w:val="24"/>
          <w:highlight w:val="none"/>
        </w:rPr>
      </w:pPr>
      <w:r>
        <w:rPr>
          <w:rFonts w:hint="eastAsia" w:ascii="宋体"/>
          <w:color w:val="auto"/>
          <w:sz w:val="24"/>
          <w:szCs w:val="24"/>
          <w:highlight w:val="none"/>
        </w:rPr>
        <w:t>2.5在投标文件的审查、澄清、评价和比较以及授予合同过程中，投标人对</w:t>
      </w:r>
      <w:r>
        <w:rPr>
          <w:rFonts w:hint="eastAsia" w:ascii="宋体"/>
          <w:color w:val="auto"/>
          <w:sz w:val="24"/>
          <w:szCs w:val="24"/>
          <w:highlight w:val="none"/>
          <w:lang w:eastAsia="zh-CN"/>
        </w:rPr>
        <w:t>招标人</w:t>
      </w:r>
      <w:r>
        <w:rPr>
          <w:rFonts w:hint="eastAsia" w:ascii="宋体"/>
          <w:color w:val="auto"/>
          <w:sz w:val="24"/>
          <w:szCs w:val="24"/>
          <w:highlight w:val="none"/>
        </w:rPr>
        <w:t>和评标委员会成员施加影响的任何行为，都将导致取消其中标资格。</w:t>
      </w:r>
    </w:p>
    <w:p>
      <w:pPr>
        <w:spacing w:before="156" w:beforeLines="50" w:after="156" w:afterLines="50" w:line="360" w:lineRule="auto"/>
        <w:outlineLvl w:val="1"/>
        <w:rPr>
          <w:rFonts w:ascii="宋体"/>
          <w:b/>
          <w:color w:val="auto"/>
          <w:sz w:val="24"/>
          <w:szCs w:val="24"/>
          <w:highlight w:val="none"/>
        </w:rPr>
        <w:sectPr>
          <w:footerReference r:id="rId9" w:type="default"/>
          <w:pgSz w:w="11906" w:h="16838"/>
          <w:pgMar w:top="1440" w:right="1040" w:bottom="1440" w:left="1406" w:header="851" w:footer="992" w:gutter="0"/>
          <w:pgNumType w:fmt="decimal"/>
          <w:cols w:space="720" w:num="1"/>
          <w:docGrid w:type="lines" w:linePitch="312" w:charSpace="0"/>
        </w:sectPr>
      </w:pPr>
      <w:bookmarkStart w:id="58" w:name="_Toc362983802"/>
    </w:p>
    <w:p>
      <w:pPr>
        <w:jc w:val="center"/>
        <w:outlineLvl w:val="1"/>
        <w:rPr>
          <w:rFonts w:hint="eastAsia" w:ascii="宋体"/>
          <w:b/>
          <w:color w:val="auto"/>
          <w:sz w:val="28"/>
          <w:szCs w:val="28"/>
          <w:highlight w:val="none"/>
        </w:rPr>
      </w:pPr>
      <w:bookmarkStart w:id="59" w:name="_Toc58430318"/>
      <w:bookmarkStart w:id="60" w:name="_Toc449028878"/>
      <w:r>
        <w:rPr>
          <w:rFonts w:hint="eastAsia" w:ascii="宋体"/>
          <w:b/>
          <w:color w:val="auto"/>
          <w:sz w:val="28"/>
          <w:szCs w:val="28"/>
          <w:highlight w:val="none"/>
        </w:rPr>
        <w:t>二、投标文件初审</w:t>
      </w:r>
      <w:bookmarkEnd w:id="58"/>
      <w:bookmarkEnd w:id="59"/>
      <w:bookmarkEnd w:id="60"/>
    </w:p>
    <w:p>
      <w:pPr>
        <w:ind w:firstLine="354" w:firstLineChars="147"/>
        <w:rPr>
          <w:rFonts w:hint="eastAsia" w:ascii="宋体"/>
          <w:b/>
          <w:color w:val="auto"/>
          <w:sz w:val="24"/>
          <w:szCs w:val="24"/>
          <w:highlight w:val="none"/>
        </w:rPr>
      </w:pPr>
      <w:r>
        <w:rPr>
          <w:rFonts w:hint="eastAsia" w:ascii="宋体"/>
          <w:b/>
          <w:color w:val="auto"/>
          <w:sz w:val="24"/>
          <w:szCs w:val="24"/>
          <w:highlight w:val="none"/>
        </w:rPr>
        <w:t>3.资格性审查:</w:t>
      </w:r>
    </w:p>
    <w:p>
      <w:pPr>
        <w:spacing w:line="400" w:lineRule="exact"/>
        <w:ind w:firstLine="352" w:firstLineChars="147"/>
        <w:rPr>
          <w:rFonts w:hint="eastAsia"/>
          <w:color w:val="auto"/>
          <w:sz w:val="24"/>
          <w:szCs w:val="24"/>
          <w:highlight w:val="none"/>
        </w:rPr>
      </w:pPr>
      <w:r>
        <w:rPr>
          <w:rFonts w:hint="eastAsia" w:ascii="宋体"/>
          <w:color w:val="auto"/>
          <w:sz w:val="24"/>
          <w:szCs w:val="24"/>
          <w:highlight w:val="none"/>
        </w:rPr>
        <w:t>3.1</w:t>
      </w:r>
      <w:r>
        <w:rPr>
          <w:rFonts w:hint="eastAsia"/>
          <w:color w:val="auto"/>
          <w:sz w:val="24"/>
          <w:szCs w:val="24"/>
          <w:highlight w:val="none"/>
        </w:rPr>
        <w:t>评审细则</w:t>
      </w:r>
    </w:p>
    <w:tbl>
      <w:tblPr>
        <w:tblStyle w:val="45"/>
        <w:tblW w:w="1007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9"/>
        <w:gridCol w:w="1061"/>
        <w:gridCol w:w="834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jc w:val="center"/>
        </w:trPr>
        <w:tc>
          <w:tcPr>
            <w:tcW w:w="1730" w:type="dxa"/>
            <w:gridSpan w:val="2"/>
            <w:noWrap w:val="0"/>
            <w:vAlign w:val="center"/>
          </w:tcPr>
          <w:p>
            <w:pPr>
              <w:spacing w:line="440" w:lineRule="exact"/>
              <w:jc w:val="center"/>
              <w:rPr>
                <w:rFonts w:hint="eastAsia" w:ascii="黑体" w:hAnsi="黑体" w:eastAsia="黑体" w:cs="宋体"/>
                <w:b/>
                <w:bCs/>
                <w:color w:val="auto"/>
                <w:szCs w:val="21"/>
              </w:rPr>
            </w:pPr>
            <w:r>
              <w:rPr>
                <w:rFonts w:hint="eastAsia" w:ascii="黑体" w:hAnsi="黑体" w:eastAsia="黑体" w:cs="宋体"/>
                <w:b/>
                <w:bCs/>
                <w:color w:val="auto"/>
                <w:szCs w:val="21"/>
              </w:rPr>
              <w:t>条款号</w:t>
            </w:r>
          </w:p>
        </w:tc>
        <w:tc>
          <w:tcPr>
            <w:tcW w:w="8344" w:type="dxa"/>
            <w:noWrap w:val="0"/>
            <w:vAlign w:val="center"/>
          </w:tcPr>
          <w:p>
            <w:pPr>
              <w:spacing w:line="440" w:lineRule="exact"/>
              <w:jc w:val="center"/>
              <w:rPr>
                <w:rFonts w:hint="eastAsia" w:ascii="黑体" w:hAnsi="黑体" w:eastAsia="黑体" w:cs="宋体"/>
                <w:b/>
                <w:bCs/>
                <w:color w:val="auto"/>
                <w:szCs w:val="21"/>
              </w:rPr>
            </w:pPr>
            <w:r>
              <w:rPr>
                <w:rFonts w:hint="eastAsia" w:ascii="黑体" w:hAnsi="黑体" w:eastAsia="黑体" w:cs="宋体"/>
                <w:b/>
                <w:bCs/>
                <w:color w:val="auto"/>
                <w:szCs w:val="21"/>
              </w:rPr>
              <w:t>审查内容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669" w:type="dxa"/>
            <w:vMerge w:val="restart"/>
            <w:noWrap w:val="0"/>
            <w:vAlign w:val="center"/>
          </w:tcPr>
          <w:p>
            <w:pPr>
              <w:spacing w:line="440" w:lineRule="exact"/>
              <w:jc w:val="center"/>
              <w:rPr>
                <w:rFonts w:hint="eastAsia" w:ascii="宋体" w:hAnsi="宋体" w:cs="宋体"/>
                <w:color w:val="auto"/>
                <w:szCs w:val="21"/>
              </w:rPr>
            </w:pPr>
            <w:r>
              <w:rPr>
                <w:rFonts w:hint="eastAsia" w:ascii="宋体" w:hAnsi="宋体" w:cs="宋体"/>
                <w:color w:val="auto"/>
                <w:szCs w:val="21"/>
              </w:rPr>
              <w:t>1</w:t>
            </w:r>
          </w:p>
        </w:tc>
        <w:tc>
          <w:tcPr>
            <w:tcW w:w="1061" w:type="dxa"/>
            <w:vMerge w:val="restart"/>
            <w:noWrap w:val="0"/>
            <w:vAlign w:val="center"/>
          </w:tcPr>
          <w:p>
            <w:pPr>
              <w:spacing w:line="440" w:lineRule="exact"/>
              <w:jc w:val="center"/>
              <w:rPr>
                <w:rFonts w:hint="eastAsia" w:ascii="宋体" w:hAnsi="宋体" w:cs="宋体"/>
                <w:b/>
                <w:bCs/>
                <w:color w:val="auto"/>
                <w:szCs w:val="21"/>
              </w:rPr>
            </w:pPr>
            <w:r>
              <w:rPr>
                <w:rFonts w:hint="eastAsia" w:ascii="宋体" w:hAnsi="宋体" w:cs="宋体"/>
                <w:b/>
                <w:bCs/>
                <w:color w:val="auto"/>
                <w:szCs w:val="21"/>
              </w:rPr>
              <w:t>审查资料</w:t>
            </w:r>
          </w:p>
        </w:tc>
        <w:tc>
          <w:tcPr>
            <w:tcW w:w="8344" w:type="dxa"/>
            <w:noWrap w:val="0"/>
            <w:vAlign w:val="top"/>
          </w:tcPr>
          <w:p>
            <w:pPr>
              <w:autoSpaceDE w:val="0"/>
              <w:spacing w:line="440" w:lineRule="exact"/>
              <w:rPr>
                <w:rFonts w:hint="eastAsia"/>
                <w:color w:val="auto"/>
              </w:rPr>
            </w:pPr>
            <w:r>
              <w:rPr>
                <w:rFonts w:hint="eastAsia" w:ascii="宋体" w:hAnsi="宋体" w:cs="宋体"/>
                <w:color w:val="auto"/>
                <w:szCs w:val="21"/>
              </w:rPr>
              <w:t>法定代表人身份证明文件和本人有效身份证(或法定代表人授权委托书和委托代理人有效身份证) （格式见附件）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jc w:val="center"/>
        </w:trPr>
        <w:tc>
          <w:tcPr>
            <w:tcW w:w="669" w:type="dxa"/>
            <w:vMerge w:val="continue"/>
            <w:noWrap w:val="0"/>
            <w:vAlign w:val="center"/>
          </w:tcPr>
          <w:p>
            <w:pPr>
              <w:spacing w:line="440" w:lineRule="exact"/>
              <w:jc w:val="center"/>
              <w:rPr>
                <w:rFonts w:hint="eastAsia" w:ascii="宋体" w:hAnsi="宋体" w:cs="宋体"/>
                <w:color w:val="auto"/>
                <w:szCs w:val="21"/>
              </w:rPr>
            </w:pPr>
          </w:p>
        </w:tc>
        <w:tc>
          <w:tcPr>
            <w:tcW w:w="1061" w:type="dxa"/>
            <w:vMerge w:val="continue"/>
            <w:noWrap w:val="0"/>
            <w:vAlign w:val="center"/>
          </w:tcPr>
          <w:p>
            <w:pPr>
              <w:spacing w:line="440" w:lineRule="exact"/>
              <w:jc w:val="center"/>
              <w:rPr>
                <w:rFonts w:hint="eastAsia" w:ascii="宋体" w:hAnsi="宋体" w:cs="宋体"/>
                <w:b/>
                <w:bCs/>
                <w:color w:val="auto"/>
                <w:szCs w:val="21"/>
              </w:rPr>
            </w:pPr>
          </w:p>
        </w:tc>
        <w:tc>
          <w:tcPr>
            <w:tcW w:w="8344" w:type="dxa"/>
            <w:noWrap w:val="0"/>
            <w:vAlign w:val="top"/>
          </w:tcPr>
          <w:p>
            <w:pPr>
              <w:spacing w:line="440" w:lineRule="exact"/>
              <w:ind w:right="29" w:rightChars="14"/>
              <w:rPr>
                <w:rFonts w:hint="eastAsia"/>
                <w:color w:val="auto"/>
              </w:rPr>
            </w:pPr>
            <w:r>
              <w:rPr>
                <w:rFonts w:hint="eastAsia" w:ascii="宋体" w:hAnsi="宋体" w:cs="宋体"/>
                <w:color w:val="auto"/>
                <w:szCs w:val="21"/>
              </w:rPr>
              <w:t>诚信投标承诺书（格式见附件）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669" w:type="dxa"/>
            <w:vMerge w:val="continue"/>
            <w:noWrap w:val="0"/>
            <w:vAlign w:val="center"/>
          </w:tcPr>
          <w:p>
            <w:pPr>
              <w:spacing w:line="440" w:lineRule="exact"/>
              <w:jc w:val="center"/>
              <w:rPr>
                <w:rFonts w:hint="eastAsia" w:ascii="宋体" w:hAnsi="宋体" w:cs="宋体"/>
                <w:color w:val="auto"/>
                <w:szCs w:val="21"/>
              </w:rPr>
            </w:pPr>
          </w:p>
        </w:tc>
        <w:tc>
          <w:tcPr>
            <w:tcW w:w="1061" w:type="dxa"/>
            <w:vMerge w:val="continue"/>
            <w:noWrap w:val="0"/>
            <w:vAlign w:val="center"/>
          </w:tcPr>
          <w:p>
            <w:pPr>
              <w:spacing w:line="440" w:lineRule="exact"/>
              <w:jc w:val="center"/>
              <w:rPr>
                <w:rFonts w:hint="eastAsia" w:ascii="宋体" w:hAnsi="宋体" w:cs="宋体"/>
                <w:b/>
                <w:bCs/>
                <w:color w:val="auto"/>
                <w:szCs w:val="21"/>
              </w:rPr>
            </w:pPr>
          </w:p>
        </w:tc>
        <w:tc>
          <w:tcPr>
            <w:tcW w:w="8344" w:type="dxa"/>
            <w:noWrap w:val="0"/>
            <w:vAlign w:val="top"/>
          </w:tcPr>
          <w:p>
            <w:pPr>
              <w:autoSpaceDE w:val="0"/>
              <w:spacing w:line="440" w:lineRule="exact"/>
              <w:rPr>
                <w:rFonts w:hint="eastAsia"/>
                <w:color w:val="auto"/>
              </w:rPr>
            </w:pPr>
            <w:r>
              <w:rPr>
                <w:rFonts w:hint="eastAsia" w:ascii="宋体" w:hAnsi="宋体" w:cs="宋体"/>
                <w:color w:val="auto"/>
                <w:szCs w:val="21"/>
              </w:rPr>
              <w:t>投标人营业执照</w:t>
            </w:r>
            <w:r>
              <w:rPr>
                <w:rFonts w:hint="eastAsia" w:ascii="宋体" w:hAnsi="宋体"/>
                <w:color w:val="auto"/>
                <w:szCs w:val="21"/>
              </w:rPr>
              <w:t>（或三证合一的有效证件）</w:t>
            </w:r>
            <w:r>
              <w:rPr>
                <w:rFonts w:hint="eastAsia" w:ascii="宋体" w:hAnsi="宋体" w:cs="宋体"/>
                <w:color w:val="auto"/>
                <w:szCs w:val="21"/>
              </w:rPr>
              <w:t>（复印件加盖单位公章）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exact"/>
          <w:jc w:val="center"/>
        </w:trPr>
        <w:tc>
          <w:tcPr>
            <w:tcW w:w="669" w:type="dxa"/>
            <w:vMerge w:val="continue"/>
            <w:noWrap w:val="0"/>
            <w:vAlign w:val="center"/>
          </w:tcPr>
          <w:p>
            <w:pPr>
              <w:spacing w:line="440" w:lineRule="exact"/>
              <w:jc w:val="center"/>
              <w:rPr>
                <w:rFonts w:hint="eastAsia" w:ascii="宋体" w:hAnsi="宋体" w:cs="宋体"/>
                <w:color w:val="auto"/>
                <w:szCs w:val="21"/>
              </w:rPr>
            </w:pPr>
          </w:p>
        </w:tc>
        <w:tc>
          <w:tcPr>
            <w:tcW w:w="1061" w:type="dxa"/>
            <w:vMerge w:val="continue"/>
            <w:noWrap w:val="0"/>
            <w:vAlign w:val="center"/>
          </w:tcPr>
          <w:p>
            <w:pPr>
              <w:spacing w:line="440" w:lineRule="exact"/>
              <w:jc w:val="center"/>
              <w:rPr>
                <w:rFonts w:hint="eastAsia" w:ascii="宋体" w:hAnsi="宋体" w:cs="宋体"/>
                <w:b/>
                <w:bCs/>
                <w:color w:val="auto"/>
                <w:szCs w:val="21"/>
              </w:rPr>
            </w:pPr>
          </w:p>
        </w:tc>
        <w:tc>
          <w:tcPr>
            <w:tcW w:w="8344" w:type="dxa"/>
            <w:noWrap w:val="0"/>
            <w:vAlign w:val="top"/>
          </w:tcPr>
          <w:p>
            <w:pPr>
              <w:spacing w:line="440" w:lineRule="exact"/>
              <w:rPr>
                <w:rFonts w:hint="eastAsia"/>
                <w:color w:val="auto"/>
              </w:rPr>
            </w:pPr>
            <w:r>
              <w:rPr>
                <w:rFonts w:hint="eastAsia" w:ascii="宋体" w:hAnsi="宋体" w:cs="宋体"/>
                <w:color w:val="auto"/>
                <w:szCs w:val="21"/>
              </w:rPr>
              <w:t>拟派项目负责人的有效身份证及资质要求的相关证书（复印件加盖单位公章）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43" w:hRule="atLeast"/>
          <w:jc w:val="center"/>
        </w:trPr>
        <w:tc>
          <w:tcPr>
            <w:tcW w:w="669" w:type="dxa"/>
            <w:vMerge w:val="continue"/>
            <w:noWrap w:val="0"/>
            <w:vAlign w:val="center"/>
          </w:tcPr>
          <w:p>
            <w:pPr>
              <w:spacing w:line="440" w:lineRule="exact"/>
              <w:jc w:val="center"/>
              <w:rPr>
                <w:rFonts w:hint="eastAsia" w:ascii="宋体" w:hAnsi="宋体" w:cs="宋体"/>
                <w:color w:val="auto"/>
                <w:szCs w:val="21"/>
              </w:rPr>
            </w:pPr>
          </w:p>
        </w:tc>
        <w:tc>
          <w:tcPr>
            <w:tcW w:w="1061" w:type="dxa"/>
            <w:vMerge w:val="continue"/>
            <w:noWrap w:val="0"/>
            <w:vAlign w:val="center"/>
          </w:tcPr>
          <w:p>
            <w:pPr>
              <w:spacing w:line="440" w:lineRule="exact"/>
              <w:jc w:val="center"/>
              <w:rPr>
                <w:rFonts w:hint="eastAsia" w:ascii="宋体" w:hAnsi="宋体" w:cs="宋体"/>
                <w:b/>
                <w:bCs/>
                <w:color w:val="auto"/>
                <w:szCs w:val="21"/>
              </w:rPr>
            </w:pPr>
          </w:p>
        </w:tc>
        <w:tc>
          <w:tcPr>
            <w:tcW w:w="8344" w:type="dxa"/>
            <w:noWrap w:val="0"/>
            <w:vAlign w:val="top"/>
          </w:tcPr>
          <w:p>
            <w:pPr>
              <w:spacing w:line="440" w:lineRule="exact"/>
              <w:rPr>
                <w:rFonts w:hint="eastAsia" w:ascii="宋体" w:hAnsi="宋体" w:cs="宋体"/>
                <w:color w:val="auto"/>
                <w:szCs w:val="21"/>
              </w:rPr>
            </w:pPr>
            <w:r>
              <w:rPr>
                <w:rFonts w:hint="eastAsia" w:ascii="宋体" w:hAnsi="宋体" w:cs="宋体"/>
                <w:color w:val="auto"/>
                <w:szCs w:val="21"/>
              </w:rPr>
              <w:t>投标人的法定代表人(或委托代理人)和拟任项目负责人须持有社保部门出具的本单位为其缴纳的投标前近</w:t>
            </w:r>
            <w:r>
              <w:rPr>
                <w:rFonts w:hint="eastAsia" w:ascii="宋体" w:hAnsi="宋体" w:cs="宋体"/>
                <w:color w:val="auto"/>
                <w:szCs w:val="21"/>
                <w:lang w:val="en-US" w:eastAsia="zh-CN"/>
              </w:rPr>
              <w:t>六</w:t>
            </w:r>
            <w:r>
              <w:rPr>
                <w:rFonts w:hint="eastAsia" w:ascii="宋体" w:hAnsi="宋体" w:cs="宋体"/>
                <w:color w:val="auto"/>
                <w:szCs w:val="21"/>
              </w:rPr>
              <w:t>个月连续的养老保险证明（或官网在线打印件，证明文件两个月内有效）（同一人担任不同公司法定代表人的，该法定代表人参加本项目投标时须提供本人在其他公司任法定代表人的营业执照及为其缴纳养老保险证明材料），投标人是事业单位的，暂未缴纳社保的，须由其主管部门出具证明；（复印件加盖单位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jc w:val="center"/>
        </w:trPr>
        <w:tc>
          <w:tcPr>
            <w:tcW w:w="669" w:type="dxa"/>
            <w:vMerge w:val="continue"/>
            <w:noWrap w:val="0"/>
            <w:vAlign w:val="center"/>
          </w:tcPr>
          <w:p>
            <w:pPr>
              <w:spacing w:line="440" w:lineRule="exact"/>
              <w:jc w:val="center"/>
              <w:rPr>
                <w:rFonts w:hint="eastAsia" w:ascii="宋体" w:hAnsi="宋体" w:cs="宋体"/>
                <w:color w:val="auto"/>
                <w:szCs w:val="21"/>
              </w:rPr>
            </w:pPr>
            <w:bookmarkStart w:id="61" w:name="_Toc1191"/>
            <w:bookmarkStart w:id="62" w:name="_Toc58430320"/>
            <w:bookmarkStart w:id="63" w:name="_Toc449028880"/>
          </w:p>
        </w:tc>
        <w:tc>
          <w:tcPr>
            <w:tcW w:w="1061" w:type="dxa"/>
            <w:vMerge w:val="continue"/>
            <w:noWrap w:val="0"/>
            <w:vAlign w:val="center"/>
          </w:tcPr>
          <w:p>
            <w:pPr>
              <w:spacing w:line="440" w:lineRule="exact"/>
              <w:jc w:val="center"/>
              <w:rPr>
                <w:rFonts w:hint="eastAsia" w:ascii="宋体" w:hAnsi="宋体" w:cs="宋体"/>
                <w:b/>
                <w:bCs/>
                <w:color w:val="auto"/>
                <w:szCs w:val="21"/>
              </w:rPr>
            </w:pPr>
          </w:p>
        </w:tc>
        <w:tc>
          <w:tcPr>
            <w:tcW w:w="8344" w:type="dxa"/>
            <w:noWrap w:val="0"/>
            <w:vAlign w:val="top"/>
          </w:tcPr>
          <w:p>
            <w:pPr>
              <w:spacing w:line="440" w:lineRule="exact"/>
              <w:rPr>
                <w:rFonts w:hint="eastAsia" w:ascii="宋体" w:hAnsi="宋体" w:cs="宋体"/>
                <w:color w:val="auto"/>
                <w:szCs w:val="21"/>
              </w:rPr>
            </w:pPr>
            <w:r>
              <w:rPr>
                <w:rFonts w:hint="eastAsia" w:ascii="宋体" w:hAnsi="宋体" w:eastAsia="宋体" w:cs="宋体"/>
                <w:color w:val="auto"/>
                <w:szCs w:val="21"/>
                <w:lang w:val="en-US" w:eastAsia="zh-CN"/>
              </w:rPr>
              <w:t>项目组成员注册证书复印件加盖投标人公章和证明专业的证明材料。</w:t>
            </w:r>
          </w:p>
        </w:tc>
      </w:tr>
    </w:tbl>
    <w:p>
      <w:pPr>
        <w:pStyle w:val="7"/>
        <w:numPr>
          <w:ilvl w:val="1"/>
          <w:numId w:val="0"/>
        </w:numPr>
        <w:spacing w:before="0" w:beforeLines="0" w:after="0" w:afterLines="0" w:line="400" w:lineRule="exact"/>
        <w:ind w:leftChars="200"/>
        <w:rPr>
          <w:rFonts w:hint="eastAsia" w:ascii="宋体" w:hAnsi="宋体" w:eastAsia="宋体" w:cs="宋体"/>
          <w:color w:val="auto"/>
          <w:sz w:val="24"/>
          <w:szCs w:val="24"/>
        </w:rPr>
      </w:pPr>
      <w:r>
        <w:rPr>
          <w:rFonts w:hint="eastAsia" w:ascii="宋体" w:hAnsi="宋体" w:eastAsia="宋体" w:cs="宋体"/>
          <w:color w:val="auto"/>
          <w:sz w:val="24"/>
          <w:szCs w:val="24"/>
        </w:rPr>
        <w:t>1.审查资料</w:t>
      </w:r>
      <w:bookmarkEnd w:id="61"/>
    </w:p>
    <w:p>
      <w:pPr>
        <w:spacing w:line="440" w:lineRule="exact"/>
        <w:ind w:firstLine="480" w:firstLineChars="200"/>
        <w:jc w:val="left"/>
        <w:rPr>
          <w:rFonts w:hint="eastAsia" w:ascii="宋体" w:hAnsi="宋体" w:eastAsia="宋体" w:cs="宋体"/>
          <w:color w:val="auto"/>
          <w:sz w:val="24"/>
          <w:szCs w:val="24"/>
        </w:rPr>
      </w:pPr>
      <w:bookmarkStart w:id="64" w:name="_Toc37230750"/>
      <w:bookmarkStart w:id="65" w:name="_Toc506107320"/>
      <w:bookmarkStart w:id="66" w:name="_Toc15058909"/>
      <w:bookmarkStart w:id="67" w:name="_Toc324404867"/>
      <w:bookmarkStart w:id="68" w:name="_Toc17672"/>
      <w:r>
        <w:rPr>
          <w:rFonts w:hint="eastAsia" w:ascii="宋体" w:hAnsi="宋体" w:eastAsia="宋体" w:cs="宋体"/>
          <w:color w:val="auto"/>
          <w:sz w:val="24"/>
          <w:szCs w:val="24"/>
        </w:rPr>
        <w:t>（1）法定代表人身份证明文件和本人有效身份证(或法定代表人授权委托书和委托代理人有效身份证)；</w:t>
      </w:r>
    </w:p>
    <w:p>
      <w:pPr>
        <w:spacing w:line="440" w:lineRule="exact"/>
        <w:ind w:firstLine="480" w:firstLineChars="200"/>
        <w:jc w:val="left"/>
        <w:rPr>
          <w:rFonts w:hint="eastAsia" w:ascii="宋体" w:hAnsi="宋体" w:eastAsia="宋体" w:cs="宋体"/>
          <w:color w:val="auto"/>
          <w:sz w:val="24"/>
          <w:szCs w:val="24"/>
        </w:rPr>
      </w:pPr>
      <w:r>
        <w:rPr>
          <w:rFonts w:hint="eastAsia" w:ascii="宋体" w:hAnsi="宋体" w:eastAsia="宋体" w:cs="宋体"/>
          <w:color w:val="auto"/>
          <w:sz w:val="24"/>
          <w:szCs w:val="24"/>
        </w:rPr>
        <w:t>（2）诚信投标承诺书（格式见附件）；</w:t>
      </w:r>
    </w:p>
    <w:p>
      <w:pPr>
        <w:spacing w:line="440" w:lineRule="exact"/>
        <w:ind w:firstLine="480" w:firstLineChars="200"/>
        <w:jc w:val="left"/>
        <w:rPr>
          <w:rFonts w:hint="eastAsia" w:ascii="宋体" w:hAnsi="宋体" w:eastAsia="宋体" w:cs="宋体"/>
          <w:color w:val="auto"/>
          <w:sz w:val="24"/>
          <w:szCs w:val="24"/>
        </w:rPr>
      </w:pPr>
      <w:r>
        <w:rPr>
          <w:rFonts w:hint="eastAsia" w:ascii="宋体" w:hAnsi="宋体" w:eastAsia="宋体" w:cs="宋体"/>
          <w:color w:val="auto"/>
          <w:sz w:val="24"/>
          <w:szCs w:val="24"/>
        </w:rPr>
        <w:t>（3）企业营业执照（或三证合一的有效证件）；</w:t>
      </w:r>
    </w:p>
    <w:p>
      <w:pPr>
        <w:spacing w:line="440" w:lineRule="exact"/>
        <w:ind w:firstLine="480" w:firstLineChars="200"/>
        <w:jc w:val="left"/>
        <w:rPr>
          <w:rFonts w:hint="eastAsia" w:ascii="宋体" w:hAnsi="宋体" w:eastAsia="宋体" w:cs="宋体"/>
          <w:color w:val="auto"/>
          <w:spacing w:val="-1"/>
          <w:sz w:val="24"/>
          <w:szCs w:val="24"/>
        </w:rPr>
      </w:pPr>
      <w:r>
        <w:rPr>
          <w:rFonts w:hint="eastAsia" w:ascii="宋体" w:hAnsi="宋体" w:eastAsia="宋体" w:cs="宋体"/>
          <w:color w:val="auto"/>
          <w:sz w:val="24"/>
          <w:szCs w:val="24"/>
        </w:rPr>
        <w:t>（4）拟派项目负责人有效身份证及资质要求的相关证书</w:t>
      </w:r>
      <w:r>
        <w:rPr>
          <w:rFonts w:hint="eastAsia" w:ascii="宋体" w:hAnsi="宋体" w:eastAsia="宋体" w:cs="宋体"/>
          <w:color w:val="auto"/>
          <w:spacing w:val="-1"/>
          <w:sz w:val="24"/>
          <w:szCs w:val="24"/>
        </w:rPr>
        <w:t>；</w:t>
      </w:r>
    </w:p>
    <w:p>
      <w:pPr>
        <w:spacing w:line="440" w:lineRule="exact"/>
        <w:ind w:firstLine="480" w:firstLineChars="200"/>
        <w:jc w:val="left"/>
        <w:rPr>
          <w:rFonts w:hint="eastAsia" w:ascii="宋体" w:hAnsi="宋体" w:eastAsia="宋体" w:cs="宋体"/>
          <w:color w:val="auto"/>
          <w:spacing w:val="-1"/>
          <w:sz w:val="24"/>
          <w:szCs w:val="24"/>
        </w:rPr>
      </w:pPr>
      <w:r>
        <w:rPr>
          <w:rFonts w:hint="eastAsia" w:ascii="宋体" w:hAnsi="宋体" w:eastAsia="宋体" w:cs="宋体"/>
          <w:color w:val="auto"/>
          <w:sz w:val="24"/>
          <w:szCs w:val="24"/>
        </w:rPr>
        <w:t>（5）投标人的法定代表人(或委托代理人)和拟任项目负责人须持有社保部门出具的本单位为其缴纳的投标前近</w:t>
      </w:r>
      <w:r>
        <w:rPr>
          <w:rFonts w:hint="eastAsia" w:ascii="宋体" w:hAnsi="宋体" w:eastAsia="宋体" w:cs="宋体"/>
          <w:color w:val="auto"/>
          <w:sz w:val="24"/>
          <w:szCs w:val="24"/>
          <w:lang w:eastAsia="zh-CN"/>
        </w:rPr>
        <w:t>六个月连续的养老保险证明</w:t>
      </w:r>
      <w:r>
        <w:rPr>
          <w:rFonts w:hint="eastAsia" w:ascii="宋体" w:hAnsi="宋体" w:eastAsia="宋体" w:cs="宋体"/>
          <w:color w:val="auto"/>
          <w:sz w:val="24"/>
          <w:szCs w:val="24"/>
        </w:rPr>
        <w:t>（或官网在线打印件，证明文件两个月内有效）（同一人担任不同公司法定代表人的，该法定代表人参加本项目投标时须提供本人在其他公司任法定代表人的营业执照及为其缴纳养老保险证明材料），投标人是事业单位的，暂未缴纳社保的，须由其主管部门出具证明；</w:t>
      </w:r>
    </w:p>
    <w:p>
      <w:pPr>
        <w:spacing w:line="440" w:lineRule="exact"/>
        <w:ind w:firstLine="480" w:firstLineChars="200"/>
        <w:jc w:val="left"/>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rPr>
        <w:t>（6）</w:t>
      </w:r>
      <w:r>
        <w:rPr>
          <w:rFonts w:hint="eastAsia" w:ascii="宋体" w:hAnsi="宋体" w:eastAsia="宋体" w:cs="宋体"/>
          <w:color w:val="auto"/>
          <w:sz w:val="24"/>
          <w:szCs w:val="24"/>
          <w:lang w:val="en-US" w:eastAsia="zh-CN"/>
        </w:rPr>
        <w:t>项目组成员注册证书复印件加盖投标人公章和证明专业的证明材料；</w:t>
      </w:r>
    </w:p>
    <w:p>
      <w:pPr>
        <w:spacing w:line="440" w:lineRule="exact"/>
        <w:ind w:firstLine="480" w:firstLineChars="200"/>
        <w:jc w:val="left"/>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（7）</w:t>
      </w:r>
      <w:r>
        <w:rPr>
          <w:rFonts w:hint="eastAsia" w:ascii="宋体" w:hAnsi="宋体" w:eastAsia="宋体" w:cs="宋体"/>
          <w:color w:val="auto"/>
          <w:sz w:val="24"/>
          <w:szCs w:val="24"/>
        </w:rPr>
        <w:t>投标人认为需要提供的其它证明材料。</w:t>
      </w:r>
    </w:p>
    <w:p>
      <w:pPr>
        <w:pStyle w:val="7"/>
        <w:numPr>
          <w:ilvl w:val="1"/>
          <w:numId w:val="0"/>
        </w:numPr>
        <w:spacing w:before="0" w:beforeLines="0" w:after="0" w:afterLines="0" w:line="400" w:lineRule="exact"/>
        <w:ind w:leftChars="200"/>
        <w:rPr>
          <w:rFonts w:hint="eastAsia" w:ascii="宋体" w:hAnsi="宋体" w:eastAsia="宋体" w:cs="宋体"/>
          <w:color w:val="auto"/>
          <w:sz w:val="24"/>
          <w:szCs w:val="24"/>
        </w:rPr>
      </w:pPr>
      <w:r>
        <w:rPr>
          <w:rFonts w:hint="eastAsia" w:ascii="宋体" w:hAnsi="宋体" w:eastAsia="宋体" w:cs="宋体"/>
          <w:color w:val="auto"/>
          <w:sz w:val="24"/>
          <w:szCs w:val="24"/>
        </w:rPr>
        <w:t>2.审查办法</w:t>
      </w:r>
      <w:bookmarkEnd w:id="64"/>
      <w:bookmarkEnd w:id="65"/>
      <w:bookmarkEnd w:id="66"/>
      <w:bookmarkEnd w:id="67"/>
      <w:bookmarkEnd w:id="68"/>
    </w:p>
    <w:p>
      <w:pPr>
        <w:spacing w:line="400" w:lineRule="exact"/>
        <w:ind w:firstLine="480" w:firstLineChars="200"/>
        <w:rPr>
          <w:rFonts w:hint="eastAsia" w:ascii="宋体" w:hAnsi="宋体" w:eastAsia="宋体" w:cs="宋体"/>
          <w:color w:val="auto"/>
          <w:sz w:val="24"/>
          <w:szCs w:val="24"/>
        </w:rPr>
      </w:pPr>
      <w:r>
        <w:rPr>
          <w:rFonts w:hint="eastAsia" w:ascii="宋体" w:hAnsi="宋体" w:eastAsia="宋体" w:cs="宋体"/>
          <w:color w:val="auto"/>
          <w:sz w:val="24"/>
          <w:szCs w:val="24"/>
        </w:rPr>
        <w:t>1、由资格审查委员会（评审委员会）按资格审查办法前附表中资格审查必要合格条件评审表要求对投标人审查资料进行核验。投标人有下列情形之一的，其资格审查为不合格：</w:t>
      </w:r>
      <w:bookmarkStart w:id="69" w:name="_Toc324404868"/>
      <w:bookmarkStart w:id="70" w:name="_Toc7413"/>
      <w:bookmarkStart w:id="71" w:name="_Toc15058910"/>
      <w:bookmarkStart w:id="72" w:name="_Toc37230751"/>
      <w:bookmarkStart w:id="73" w:name="_Toc506107321"/>
    </w:p>
    <w:p>
      <w:pPr>
        <w:spacing w:line="400" w:lineRule="exact"/>
        <w:ind w:firstLine="480" w:firstLineChars="200"/>
        <w:rPr>
          <w:rFonts w:hint="eastAsia" w:ascii="宋体" w:hAnsi="宋体" w:eastAsia="宋体" w:cs="宋体"/>
          <w:b w:val="0"/>
          <w:bCs w:val="0"/>
          <w:color w:val="auto"/>
          <w:kern w:val="2"/>
          <w:sz w:val="24"/>
          <w:szCs w:val="24"/>
          <w:lang w:val="en-US" w:eastAsia="zh-CN" w:bidi="ar-SA"/>
        </w:rPr>
      </w:pPr>
      <w:r>
        <w:rPr>
          <w:rFonts w:hint="eastAsia" w:ascii="宋体" w:hAnsi="宋体" w:eastAsia="宋体" w:cs="宋体"/>
          <w:b w:val="0"/>
          <w:bCs w:val="0"/>
          <w:color w:val="auto"/>
          <w:kern w:val="2"/>
          <w:sz w:val="24"/>
          <w:szCs w:val="24"/>
          <w:lang w:val="en-US" w:eastAsia="zh-CN" w:bidi="ar-SA"/>
        </w:rPr>
        <w:t>逾期送达的或未送达指定地点的；</w:t>
      </w:r>
    </w:p>
    <w:p>
      <w:pPr>
        <w:spacing w:line="400" w:lineRule="exact"/>
        <w:ind w:firstLine="480" w:firstLineChars="200"/>
        <w:rPr>
          <w:rFonts w:hint="eastAsia" w:ascii="宋体" w:hAnsi="宋体" w:eastAsia="宋体" w:cs="宋体"/>
          <w:b w:val="0"/>
          <w:bCs w:val="0"/>
          <w:color w:val="auto"/>
          <w:kern w:val="2"/>
          <w:sz w:val="24"/>
          <w:szCs w:val="24"/>
          <w:lang w:val="en-US" w:eastAsia="zh-CN" w:bidi="ar-SA"/>
        </w:rPr>
      </w:pPr>
      <w:r>
        <w:rPr>
          <w:rFonts w:hint="eastAsia" w:ascii="宋体" w:hAnsi="宋体" w:eastAsia="宋体" w:cs="宋体"/>
          <w:b w:val="0"/>
          <w:bCs w:val="0"/>
          <w:color w:val="auto"/>
          <w:kern w:val="2"/>
          <w:sz w:val="24"/>
          <w:szCs w:val="24"/>
          <w:lang w:val="en-US" w:eastAsia="zh-CN" w:bidi="ar-SA"/>
        </w:rPr>
        <w:t>未按招标文件要求密封的；</w:t>
      </w:r>
    </w:p>
    <w:p>
      <w:pPr>
        <w:spacing w:line="400" w:lineRule="exact"/>
        <w:ind w:firstLine="480" w:firstLineChars="200"/>
        <w:rPr>
          <w:rFonts w:hint="eastAsia" w:ascii="宋体" w:hAnsi="宋体" w:eastAsia="宋体" w:cs="宋体"/>
          <w:b w:val="0"/>
          <w:bCs w:val="0"/>
          <w:color w:val="auto"/>
          <w:kern w:val="2"/>
          <w:sz w:val="24"/>
          <w:szCs w:val="24"/>
          <w:lang w:val="en-US" w:eastAsia="zh-CN" w:bidi="ar-SA"/>
        </w:rPr>
      </w:pPr>
      <w:r>
        <w:rPr>
          <w:rFonts w:hint="eastAsia" w:ascii="宋体" w:hAnsi="宋体" w:eastAsia="宋体" w:cs="宋体"/>
          <w:b w:val="0"/>
          <w:bCs w:val="0"/>
          <w:color w:val="auto"/>
          <w:kern w:val="2"/>
          <w:sz w:val="24"/>
          <w:szCs w:val="24"/>
          <w:lang w:val="en-US" w:eastAsia="zh-CN" w:bidi="ar-SA"/>
        </w:rPr>
        <w:t>无单位盖章、无法定代表人或法定代表人授权的代理人签字或盖章的；</w:t>
      </w:r>
    </w:p>
    <w:p>
      <w:pPr>
        <w:spacing w:line="400" w:lineRule="exact"/>
        <w:ind w:firstLine="480" w:firstLineChars="200"/>
        <w:rPr>
          <w:rFonts w:hint="eastAsia" w:ascii="宋体" w:hAnsi="宋体" w:eastAsia="宋体" w:cs="宋体"/>
          <w:b w:val="0"/>
          <w:bCs w:val="0"/>
          <w:color w:val="auto"/>
          <w:kern w:val="2"/>
          <w:sz w:val="24"/>
          <w:szCs w:val="24"/>
          <w:lang w:val="en-US" w:eastAsia="zh-CN" w:bidi="ar-SA"/>
        </w:rPr>
      </w:pPr>
      <w:r>
        <w:rPr>
          <w:rFonts w:hint="eastAsia" w:ascii="宋体" w:hAnsi="宋体" w:eastAsia="宋体" w:cs="宋体"/>
          <w:b w:val="0"/>
          <w:bCs w:val="0"/>
          <w:color w:val="auto"/>
          <w:kern w:val="2"/>
          <w:sz w:val="24"/>
          <w:szCs w:val="24"/>
          <w:lang w:val="en-US" w:eastAsia="zh-CN" w:bidi="ar-SA"/>
        </w:rPr>
        <w:t>未按规定的格式填写，内容不全或关键字迹模糊、无法辨认的；</w:t>
      </w:r>
    </w:p>
    <w:p>
      <w:pPr>
        <w:spacing w:line="400" w:lineRule="exact"/>
        <w:ind w:firstLine="480" w:firstLineChars="200"/>
        <w:rPr>
          <w:rFonts w:hint="eastAsia" w:ascii="宋体" w:hAnsi="宋体" w:eastAsia="宋体" w:cs="宋体"/>
          <w:b w:val="0"/>
          <w:bCs w:val="0"/>
          <w:color w:val="auto"/>
          <w:kern w:val="2"/>
          <w:sz w:val="24"/>
          <w:szCs w:val="24"/>
          <w:lang w:val="en-US" w:eastAsia="zh-CN" w:bidi="ar-SA"/>
        </w:rPr>
      </w:pPr>
      <w:r>
        <w:rPr>
          <w:rFonts w:hint="eastAsia" w:ascii="宋体" w:hAnsi="宋体" w:eastAsia="宋体" w:cs="宋体"/>
          <w:b w:val="0"/>
          <w:bCs w:val="0"/>
          <w:color w:val="auto"/>
          <w:kern w:val="2"/>
          <w:sz w:val="24"/>
          <w:szCs w:val="24"/>
          <w:lang w:val="en-US" w:eastAsia="zh-CN" w:bidi="ar-SA"/>
        </w:rPr>
        <w:t>工期或质量不符合招标文件要求的；</w:t>
      </w:r>
    </w:p>
    <w:p>
      <w:pPr>
        <w:spacing w:line="400" w:lineRule="exact"/>
        <w:ind w:firstLine="480" w:firstLineChars="200"/>
        <w:rPr>
          <w:rFonts w:hint="eastAsia" w:ascii="宋体" w:hAnsi="宋体" w:eastAsia="宋体" w:cs="宋体"/>
          <w:b w:val="0"/>
          <w:bCs w:val="0"/>
          <w:color w:val="auto"/>
          <w:kern w:val="2"/>
          <w:sz w:val="24"/>
          <w:szCs w:val="24"/>
          <w:lang w:val="en-US" w:eastAsia="zh-CN" w:bidi="ar-SA"/>
        </w:rPr>
      </w:pPr>
      <w:r>
        <w:rPr>
          <w:rFonts w:hint="eastAsia" w:ascii="宋体" w:hAnsi="宋体" w:eastAsia="宋体" w:cs="宋体"/>
          <w:b w:val="0"/>
          <w:bCs w:val="0"/>
          <w:color w:val="auto"/>
          <w:kern w:val="2"/>
          <w:sz w:val="24"/>
          <w:szCs w:val="24"/>
          <w:lang w:val="en-US" w:eastAsia="zh-CN" w:bidi="ar-SA"/>
        </w:rPr>
        <w:t>未按要求缴纳投标保证金的；</w:t>
      </w:r>
    </w:p>
    <w:p>
      <w:pPr>
        <w:pStyle w:val="7"/>
        <w:numPr>
          <w:ilvl w:val="1"/>
          <w:numId w:val="0"/>
        </w:numPr>
        <w:spacing w:before="0" w:beforeLines="0" w:after="0" w:afterLines="0" w:line="400" w:lineRule="exact"/>
        <w:ind w:leftChars="200"/>
        <w:rPr>
          <w:rFonts w:hint="eastAsia" w:ascii="宋体" w:hAnsi="宋体" w:eastAsia="宋体" w:cs="宋体"/>
          <w:b w:val="0"/>
          <w:bCs w:val="0"/>
          <w:color w:val="auto"/>
          <w:kern w:val="2"/>
          <w:sz w:val="24"/>
          <w:szCs w:val="24"/>
          <w:lang w:val="en-US" w:eastAsia="zh-CN" w:bidi="ar-SA"/>
        </w:rPr>
      </w:pPr>
      <w:r>
        <w:rPr>
          <w:rFonts w:hint="eastAsia" w:ascii="宋体" w:hAnsi="宋体" w:eastAsia="宋体" w:cs="宋体"/>
          <w:b w:val="0"/>
          <w:bCs w:val="0"/>
          <w:color w:val="auto"/>
          <w:kern w:val="2"/>
          <w:sz w:val="24"/>
          <w:szCs w:val="24"/>
          <w:lang w:val="en-US" w:eastAsia="zh-CN" w:bidi="ar-SA"/>
        </w:rPr>
        <w:t>授权代表未出席开标会议；</w:t>
      </w:r>
    </w:p>
    <w:p>
      <w:pPr>
        <w:pStyle w:val="7"/>
        <w:numPr>
          <w:ilvl w:val="1"/>
          <w:numId w:val="0"/>
        </w:numPr>
        <w:spacing w:before="0" w:beforeLines="0" w:after="0" w:afterLines="0" w:line="400" w:lineRule="exact"/>
        <w:ind w:leftChars="200"/>
        <w:rPr>
          <w:rFonts w:hint="eastAsia" w:ascii="宋体" w:hAnsi="宋体" w:eastAsia="宋体" w:cs="宋体"/>
          <w:b w:val="0"/>
          <w:bCs w:val="0"/>
          <w:color w:val="auto"/>
          <w:kern w:val="2"/>
          <w:sz w:val="24"/>
          <w:szCs w:val="24"/>
          <w:lang w:val="en-US" w:eastAsia="zh-CN" w:bidi="ar-SA"/>
        </w:rPr>
      </w:pPr>
      <w:r>
        <w:rPr>
          <w:rFonts w:hint="eastAsia" w:ascii="宋体" w:hAnsi="宋体" w:eastAsia="宋体" w:cs="宋体"/>
          <w:b w:val="0"/>
          <w:bCs w:val="0"/>
          <w:color w:val="auto"/>
          <w:kern w:val="2"/>
          <w:sz w:val="24"/>
          <w:szCs w:val="24"/>
          <w:lang w:val="en-US" w:eastAsia="zh-CN" w:bidi="ar-SA"/>
        </w:rPr>
        <w:t>法律、法规、规章和招标文件规定的其他否决投标情形。</w:t>
      </w:r>
    </w:p>
    <w:p>
      <w:pPr>
        <w:pStyle w:val="7"/>
        <w:numPr>
          <w:ilvl w:val="1"/>
          <w:numId w:val="0"/>
        </w:numPr>
        <w:spacing w:before="0" w:beforeLines="0" w:after="0" w:afterLines="0" w:line="400" w:lineRule="exact"/>
        <w:ind w:leftChars="200"/>
        <w:rPr>
          <w:rFonts w:hint="eastAsia" w:ascii="宋体" w:hAnsi="宋体" w:eastAsia="宋体" w:cs="宋体"/>
          <w:color w:val="auto"/>
          <w:sz w:val="24"/>
          <w:szCs w:val="24"/>
        </w:rPr>
      </w:pPr>
      <w:r>
        <w:rPr>
          <w:rFonts w:hint="eastAsia" w:ascii="宋体" w:hAnsi="宋体" w:eastAsia="宋体" w:cs="宋体"/>
          <w:color w:val="auto"/>
          <w:sz w:val="24"/>
          <w:szCs w:val="24"/>
        </w:rPr>
        <w:t>3.资格审查委员会和审查标准</w:t>
      </w:r>
      <w:bookmarkEnd w:id="69"/>
      <w:bookmarkEnd w:id="70"/>
      <w:bookmarkEnd w:id="71"/>
      <w:bookmarkEnd w:id="72"/>
      <w:bookmarkEnd w:id="73"/>
    </w:p>
    <w:p>
      <w:pPr>
        <w:spacing w:line="400" w:lineRule="exact"/>
        <w:ind w:firstLine="480" w:firstLineChars="200"/>
        <w:rPr>
          <w:rFonts w:hint="eastAsia" w:ascii="宋体" w:hAnsi="宋体" w:eastAsia="宋体" w:cs="宋体"/>
          <w:color w:val="auto"/>
          <w:sz w:val="24"/>
          <w:szCs w:val="24"/>
        </w:rPr>
      </w:pPr>
      <w:r>
        <w:rPr>
          <w:rFonts w:hint="eastAsia" w:ascii="宋体" w:hAnsi="宋体" w:eastAsia="宋体" w:cs="宋体"/>
          <w:color w:val="auto"/>
          <w:sz w:val="24"/>
          <w:szCs w:val="24"/>
        </w:rPr>
        <w:t>资格审查由招标单位依法组建的资格审查委员会（或评审委员会）负责。审查标准见资格审查办法前附表。</w:t>
      </w:r>
    </w:p>
    <w:p>
      <w:pPr>
        <w:pStyle w:val="7"/>
        <w:numPr>
          <w:ilvl w:val="1"/>
          <w:numId w:val="0"/>
        </w:numPr>
        <w:spacing w:before="0" w:beforeLines="0" w:after="0" w:afterLines="0" w:line="400" w:lineRule="exact"/>
        <w:ind w:leftChars="200"/>
        <w:rPr>
          <w:rFonts w:hint="eastAsia" w:ascii="宋体" w:hAnsi="宋体" w:eastAsia="宋体" w:cs="宋体"/>
          <w:color w:val="auto"/>
          <w:sz w:val="24"/>
          <w:szCs w:val="24"/>
        </w:rPr>
      </w:pPr>
      <w:bookmarkStart w:id="74" w:name="_Toc15058911"/>
      <w:bookmarkStart w:id="75" w:name="_Toc7217"/>
      <w:bookmarkStart w:id="76" w:name="_Toc324404869"/>
      <w:bookmarkStart w:id="77" w:name="_Toc37230752"/>
      <w:bookmarkStart w:id="78" w:name="_Toc506107322"/>
      <w:r>
        <w:rPr>
          <w:rFonts w:hint="eastAsia" w:ascii="宋体" w:hAnsi="宋体" w:eastAsia="宋体" w:cs="宋体"/>
          <w:color w:val="auto"/>
          <w:sz w:val="24"/>
          <w:szCs w:val="24"/>
        </w:rPr>
        <w:t>4.审查结果</w:t>
      </w:r>
      <w:bookmarkEnd w:id="74"/>
      <w:bookmarkEnd w:id="75"/>
      <w:bookmarkEnd w:id="76"/>
      <w:bookmarkEnd w:id="77"/>
      <w:bookmarkEnd w:id="78"/>
    </w:p>
    <w:p>
      <w:pPr>
        <w:spacing w:line="400" w:lineRule="exact"/>
        <w:ind w:firstLine="480" w:firstLineChars="200"/>
        <w:rPr>
          <w:rFonts w:hint="eastAsia" w:ascii="宋体" w:hAnsi="宋体" w:eastAsia="宋体" w:cs="宋体"/>
          <w:color w:val="auto"/>
          <w:sz w:val="24"/>
          <w:szCs w:val="24"/>
        </w:rPr>
      </w:pPr>
      <w:r>
        <w:rPr>
          <w:rFonts w:hint="eastAsia" w:ascii="宋体" w:hAnsi="宋体" w:eastAsia="宋体" w:cs="宋体"/>
          <w:color w:val="auto"/>
          <w:sz w:val="24"/>
          <w:szCs w:val="24"/>
        </w:rPr>
        <w:t>只有通过资格审查的投标人才能进入下一步的评审程序。</w:t>
      </w:r>
    </w:p>
    <w:p>
      <w:pPr>
        <w:spacing w:line="400" w:lineRule="exact"/>
        <w:jc w:val="center"/>
        <w:outlineLvl w:val="1"/>
        <w:rPr>
          <w:rFonts w:hint="eastAsia" w:ascii="宋体"/>
          <w:b/>
          <w:color w:val="auto"/>
          <w:sz w:val="24"/>
          <w:highlight w:val="none"/>
        </w:rPr>
      </w:pPr>
    </w:p>
    <w:p>
      <w:pPr>
        <w:spacing w:line="400" w:lineRule="exact"/>
        <w:jc w:val="center"/>
        <w:outlineLvl w:val="1"/>
        <w:rPr>
          <w:rFonts w:hint="eastAsia" w:ascii="宋体"/>
          <w:b/>
          <w:color w:val="auto"/>
          <w:sz w:val="24"/>
          <w:highlight w:val="none"/>
        </w:rPr>
      </w:pPr>
      <w:r>
        <w:rPr>
          <w:rFonts w:hint="eastAsia" w:ascii="宋体"/>
          <w:b/>
          <w:color w:val="auto"/>
          <w:sz w:val="24"/>
          <w:highlight w:val="none"/>
        </w:rPr>
        <w:t>四、比较与评价</w:t>
      </w:r>
      <w:bookmarkEnd w:id="62"/>
      <w:bookmarkEnd w:id="63"/>
    </w:p>
    <w:p>
      <w:pPr>
        <w:spacing w:line="400" w:lineRule="exact"/>
        <w:ind w:firstLine="417" w:firstLineChars="198"/>
        <w:rPr>
          <w:rFonts w:ascii="宋体"/>
          <w:b/>
          <w:color w:val="auto"/>
          <w:szCs w:val="21"/>
          <w:highlight w:val="none"/>
        </w:rPr>
      </w:pPr>
      <w:r>
        <w:rPr>
          <w:rFonts w:hint="eastAsia" w:ascii="宋体" w:hAnsi="宋体"/>
          <w:b/>
          <w:color w:val="auto"/>
          <w:szCs w:val="21"/>
          <w:highlight w:val="none"/>
        </w:rPr>
        <w:t xml:space="preserve"> 6.</w:t>
      </w:r>
      <w:bookmarkStart w:id="79" w:name="_Toc362983805"/>
      <w:r>
        <w:rPr>
          <w:rFonts w:hint="eastAsia" w:ascii="宋体" w:hAnsi="宋体"/>
          <w:b/>
          <w:color w:val="auto"/>
          <w:szCs w:val="21"/>
          <w:highlight w:val="none"/>
        </w:rPr>
        <w:t xml:space="preserve"> </w:t>
      </w:r>
      <w:r>
        <w:rPr>
          <w:rFonts w:hint="eastAsia" w:ascii="宋体"/>
          <w:b/>
          <w:color w:val="auto"/>
          <w:szCs w:val="21"/>
          <w:highlight w:val="none"/>
        </w:rPr>
        <w:t>详细评审即按招标文件中规定的评标方法和标准，评标委员会将对通过初审的投标文件，进行商务部分评估、综合比较与评价。</w:t>
      </w:r>
    </w:p>
    <w:p>
      <w:pPr>
        <w:spacing w:line="400" w:lineRule="exact"/>
        <w:ind w:firstLine="517" w:firstLineChars="245"/>
        <w:rPr>
          <w:rFonts w:hint="eastAsia" w:ascii="宋体" w:hAnsi="宋体" w:eastAsia="宋体" w:cs="Times New Roman"/>
          <w:b/>
          <w:color w:val="auto"/>
          <w:szCs w:val="21"/>
          <w:highlight w:val="none"/>
        </w:rPr>
      </w:pPr>
      <w:r>
        <w:rPr>
          <w:rFonts w:hint="eastAsia" w:ascii="宋体" w:hAnsi="宋体"/>
          <w:b/>
          <w:color w:val="auto"/>
          <w:szCs w:val="21"/>
          <w:highlight w:val="none"/>
        </w:rPr>
        <w:t>6.1</w:t>
      </w:r>
      <w:r>
        <w:rPr>
          <w:rFonts w:hint="eastAsia" w:ascii="宋体" w:hAnsi="宋体" w:eastAsia="宋体" w:cs="Times New Roman"/>
          <w:b/>
          <w:color w:val="auto"/>
          <w:szCs w:val="21"/>
          <w:highlight w:val="none"/>
        </w:rPr>
        <w:t>商务标评审细则（</w:t>
      </w:r>
      <w:r>
        <w:rPr>
          <w:rFonts w:hint="eastAsia" w:ascii="宋体" w:hAnsi="宋体" w:cs="Times New Roman"/>
          <w:b/>
          <w:color w:val="auto"/>
          <w:szCs w:val="21"/>
          <w:highlight w:val="none"/>
          <w:lang w:val="en-US" w:eastAsia="zh-CN"/>
        </w:rPr>
        <w:t>10</w:t>
      </w:r>
      <w:r>
        <w:rPr>
          <w:rFonts w:hint="eastAsia" w:ascii="宋体" w:hAnsi="宋体" w:eastAsia="宋体" w:cs="Times New Roman"/>
          <w:b/>
          <w:color w:val="auto"/>
          <w:szCs w:val="21"/>
          <w:highlight w:val="none"/>
          <w:lang w:val="en-US" w:eastAsia="zh-CN"/>
        </w:rPr>
        <w:t>0</w:t>
      </w:r>
      <w:r>
        <w:rPr>
          <w:rFonts w:hint="eastAsia" w:ascii="宋体" w:hAnsi="宋体" w:eastAsia="宋体" w:cs="Times New Roman"/>
          <w:b/>
          <w:color w:val="auto"/>
          <w:szCs w:val="21"/>
          <w:highlight w:val="none"/>
        </w:rPr>
        <w:t>分）</w:t>
      </w:r>
    </w:p>
    <w:tbl>
      <w:tblPr>
        <w:tblStyle w:val="45"/>
        <w:tblW w:w="10103" w:type="dxa"/>
        <w:tblInd w:w="-23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80"/>
        <w:gridCol w:w="1365"/>
        <w:gridCol w:w="795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780"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序号</w:t>
            </w:r>
          </w:p>
        </w:tc>
        <w:tc>
          <w:tcPr>
            <w:tcW w:w="1365"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评分因素</w:t>
            </w:r>
          </w:p>
        </w:tc>
        <w:tc>
          <w:tcPr>
            <w:tcW w:w="7958"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评审细则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trPr>
        <w:tc>
          <w:tcPr>
            <w:tcW w:w="780"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val="en-US" w:eastAsia="zh-CN"/>
              </w:rPr>
              <w:t>1</w:t>
            </w:r>
          </w:p>
        </w:tc>
        <w:tc>
          <w:tcPr>
            <w:tcW w:w="1365"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报</w:t>
            </w:r>
            <w:r>
              <w:rPr>
                <w:rFonts w:hint="eastAsia" w:ascii="宋体" w:hAnsi="宋体" w:eastAsia="宋体" w:cs="宋体"/>
                <w:color w:val="auto"/>
                <w:sz w:val="21"/>
                <w:szCs w:val="21"/>
                <w:highlight w:val="none"/>
                <w:lang w:val="en-US" w:eastAsia="zh-CN"/>
              </w:rPr>
              <w:t xml:space="preserve">    </w:t>
            </w:r>
            <w:r>
              <w:rPr>
                <w:rFonts w:hint="eastAsia" w:ascii="宋体" w:hAnsi="宋体" w:eastAsia="宋体" w:cs="宋体"/>
                <w:color w:val="auto"/>
                <w:sz w:val="21"/>
                <w:szCs w:val="21"/>
                <w:highlight w:val="none"/>
              </w:rPr>
              <w:t>价</w:t>
            </w:r>
            <w:r>
              <w:rPr>
                <w:rFonts w:hint="eastAsia" w:ascii="宋体" w:hAnsi="宋体" w:eastAsia="宋体" w:cs="宋体"/>
                <w:color w:val="auto"/>
                <w:sz w:val="21"/>
                <w:szCs w:val="21"/>
                <w:highlight w:val="non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w:t>
            </w:r>
            <w:r>
              <w:rPr>
                <w:rFonts w:hint="eastAsia" w:ascii="宋体" w:hAnsi="宋体" w:cs="宋体"/>
                <w:color w:val="auto"/>
                <w:sz w:val="21"/>
                <w:szCs w:val="21"/>
                <w:highlight w:val="none"/>
                <w:lang w:val="en-US" w:eastAsia="zh-CN"/>
              </w:rPr>
              <w:t>10</w:t>
            </w:r>
            <w:r>
              <w:rPr>
                <w:rFonts w:hint="eastAsia" w:ascii="宋体" w:hAnsi="宋体" w:eastAsia="宋体" w:cs="宋体"/>
                <w:color w:val="auto"/>
                <w:sz w:val="21"/>
                <w:szCs w:val="21"/>
                <w:highlight w:val="none"/>
                <w:lang w:val="en-US" w:eastAsia="zh-CN"/>
              </w:rPr>
              <w:t>0分</w:t>
            </w:r>
            <w:r>
              <w:rPr>
                <w:rFonts w:hint="eastAsia" w:ascii="宋体" w:hAnsi="宋体" w:eastAsia="宋体" w:cs="宋体"/>
                <w:color w:val="auto"/>
                <w:sz w:val="21"/>
                <w:szCs w:val="21"/>
                <w:highlight w:val="none"/>
                <w:lang w:eastAsia="zh-CN"/>
              </w:rPr>
              <w:t>）</w:t>
            </w:r>
          </w:p>
        </w:tc>
        <w:tc>
          <w:tcPr>
            <w:tcW w:w="7958" w:type="dxa"/>
            <w:noWrap w:val="0"/>
            <w:vAlign w:val="center"/>
          </w:tcPr>
          <w:p>
            <w:pPr>
              <w:wordWrap w:val="0"/>
              <w:spacing w:line="400" w:lineRule="exact"/>
              <w:rPr>
                <w:rFonts w:hint="eastAsia" w:ascii="Times New Roman" w:hAnsi="Times New Roman" w:eastAsia="宋体" w:cs="宋体"/>
                <w:b/>
                <w:color w:val="auto"/>
                <w:highlight w:val="none"/>
              </w:rPr>
            </w:pPr>
            <w:r>
              <w:rPr>
                <w:rFonts w:hint="eastAsia" w:ascii="Times New Roman" w:hAnsi="Times New Roman" w:eastAsia="宋体" w:cs="宋体"/>
                <w:b/>
                <w:color w:val="auto"/>
                <w:highlight w:val="none"/>
              </w:rPr>
              <w:t>1、招标人设置投标报价最高限价，各投标人有效报价不得高于最高限价，否则，其投标文件按无效标处理。基本费率最高限价：</w:t>
            </w:r>
            <w:r>
              <w:rPr>
                <w:rFonts w:hint="eastAsia" w:ascii="Times New Roman" w:hAnsi="Times New Roman" w:eastAsia="宋体" w:cs="宋体"/>
                <w:b/>
                <w:color w:val="auto"/>
                <w:highlight w:val="none"/>
                <w:lang w:val="en-US" w:eastAsia="zh-CN"/>
              </w:rPr>
              <w:t>2</w:t>
            </w:r>
            <w:r>
              <w:rPr>
                <w:rFonts w:hint="eastAsia" w:ascii="Times New Roman" w:hAnsi="Times New Roman" w:eastAsia="宋体" w:cs="宋体"/>
                <w:b/>
                <w:color w:val="auto"/>
                <w:highlight w:val="none"/>
              </w:rPr>
              <w:t>‰（注：报价时只需报基本费率，保留两位小数）；</w:t>
            </w:r>
          </w:p>
          <w:p>
            <w:pPr>
              <w:wordWrap w:val="0"/>
              <w:spacing w:line="400" w:lineRule="exact"/>
              <w:rPr>
                <w:rFonts w:hint="eastAsia" w:ascii="Times New Roman" w:hAnsi="Times New Roman" w:eastAsia="宋体" w:cs="宋体"/>
                <w:b/>
                <w:color w:val="auto"/>
                <w:highlight w:val="none"/>
              </w:rPr>
            </w:pPr>
            <w:r>
              <w:rPr>
                <w:rFonts w:hint="eastAsia" w:ascii="Times New Roman" w:hAnsi="Times New Roman" w:eastAsia="宋体" w:cs="宋体"/>
                <w:b/>
                <w:color w:val="auto"/>
                <w:highlight w:val="none"/>
              </w:rPr>
              <w:t>2、评标基准值为B，B值为经评审合格的有效投标人的投标报价（基本费率）的算术平均值。评标基准值的计算结果以</w:t>
            </w:r>
            <w:r>
              <w:rPr>
                <w:rFonts w:hint="eastAsia" w:ascii="Times New Roman" w:hAnsi="Times New Roman" w:eastAsia="宋体" w:cs="宋体"/>
                <w:b/>
                <w:color w:val="auto"/>
                <w:highlight w:val="none"/>
                <w:lang w:val="en-US" w:eastAsia="zh-CN"/>
              </w:rPr>
              <w:t>千</w:t>
            </w:r>
            <w:r>
              <w:rPr>
                <w:rFonts w:hint="eastAsia" w:ascii="Times New Roman" w:hAnsi="Times New Roman" w:eastAsia="宋体" w:cs="宋体"/>
                <w:b/>
                <w:color w:val="auto"/>
                <w:highlight w:val="none"/>
              </w:rPr>
              <w:t>分数形式，</w:t>
            </w:r>
            <w:r>
              <w:rPr>
                <w:rFonts w:hint="eastAsia" w:ascii="Times New Roman" w:hAnsi="Times New Roman" w:eastAsia="宋体" w:cs="宋体"/>
                <w:b/>
                <w:color w:val="auto"/>
                <w:highlight w:val="none"/>
                <w:lang w:val="en-US" w:eastAsia="zh-CN"/>
              </w:rPr>
              <w:t>千</w:t>
            </w:r>
            <w:r>
              <w:rPr>
                <w:rFonts w:hint="eastAsia" w:ascii="Times New Roman" w:hAnsi="Times New Roman" w:eastAsia="宋体" w:cs="宋体"/>
                <w:b/>
                <w:color w:val="auto"/>
                <w:highlight w:val="none"/>
              </w:rPr>
              <w:t>分数小数点后保留两位小数。（例如0.74‰或0.79‰）</w:t>
            </w:r>
          </w:p>
          <w:p>
            <w:pPr>
              <w:wordWrap w:val="0"/>
              <w:spacing w:line="400" w:lineRule="exact"/>
              <w:rPr>
                <w:rFonts w:hint="eastAsia" w:ascii="Times New Roman" w:hAnsi="Times New Roman" w:eastAsia="宋体" w:cs="宋体"/>
                <w:b/>
                <w:color w:val="auto"/>
                <w:highlight w:val="none"/>
              </w:rPr>
            </w:pPr>
            <w:r>
              <w:rPr>
                <w:rFonts w:hint="eastAsia" w:ascii="Times New Roman" w:hAnsi="Times New Roman" w:eastAsia="宋体" w:cs="宋体"/>
                <w:b/>
                <w:color w:val="auto"/>
                <w:highlight w:val="none"/>
              </w:rPr>
              <w:t>3、各有效投标人的投标报价（费率）与评标基准值B相比，相同的得</w:t>
            </w:r>
            <w:r>
              <w:rPr>
                <w:rFonts w:hint="eastAsia" w:ascii="Times New Roman" w:hAnsi="Times New Roman" w:eastAsia="宋体" w:cs="宋体"/>
                <w:b/>
                <w:color w:val="auto"/>
                <w:highlight w:val="none"/>
                <w:lang w:val="en-US" w:eastAsia="zh-CN"/>
              </w:rPr>
              <w:t>100</w:t>
            </w:r>
            <w:r>
              <w:rPr>
                <w:rFonts w:hint="eastAsia" w:ascii="Times New Roman" w:hAnsi="Times New Roman" w:eastAsia="宋体" w:cs="宋体"/>
                <w:b/>
                <w:color w:val="auto"/>
                <w:highlight w:val="none"/>
              </w:rPr>
              <w:t>分，每增加1%扣</w:t>
            </w:r>
            <w:r>
              <w:rPr>
                <w:rFonts w:hint="eastAsia" w:ascii="Times New Roman" w:hAnsi="Times New Roman" w:eastAsia="宋体" w:cs="宋体"/>
                <w:b/>
                <w:color w:val="auto"/>
                <w:highlight w:val="none"/>
                <w:lang w:val="en-US" w:eastAsia="zh-CN"/>
              </w:rPr>
              <w:t>1</w:t>
            </w:r>
            <w:r>
              <w:rPr>
                <w:rFonts w:hint="eastAsia" w:ascii="Times New Roman" w:hAnsi="Times New Roman" w:eastAsia="宋体" w:cs="宋体"/>
                <w:b/>
                <w:color w:val="auto"/>
                <w:highlight w:val="none"/>
              </w:rPr>
              <w:t>分，每减少1%扣0.</w:t>
            </w:r>
            <w:r>
              <w:rPr>
                <w:rFonts w:hint="eastAsia" w:ascii="Times New Roman" w:hAnsi="Times New Roman" w:eastAsia="宋体" w:cs="宋体"/>
                <w:b/>
                <w:color w:val="auto"/>
                <w:highlight w:val="none"/>
                <w:lang w:val="en-US" w:eastAsia="zh-CN"/>
              </w:rPr>
              <w:t>5</w:t>
            </w:r>
            <w:r>
              <w:rPr>
                <w:rFonts w:hint="eastAsia" w:ascii="Times New Roman" w:hAnsi="Times New Roman" w:eastAsia="宋体" w:cs="宋体"/>
                <w:b/>
                <w:color w:val="auto"/>
                <w:highlight w:val="none"/>
              </w:rPr>
              <w:t>分；不足1%时按插入法计算，百分数取两位小数，小数点后第三位四舍五入。</w:t>
            </w:r>
          </w:p>
          <w:p>
            <w:pPr>
              <w:wordWrap w:val="0"/>
              <w:spacing w:line="400" w:lineRule="exact"/>
              <w:rPr>
                <w:rFonts w:hint="eastAsia" w:ascii="Times New Roman" w:hAnsi="Times New Roman" w:eastAsia="宋体" w:cs="宋体"/>
                <w:b/>
                <w:color w:val="auto"/>
                <w:highlight w:val="none"/>
              </w:rPr>
            </w:pPr>
            <w:r>
              <w:rPr>
                <w:rFonts w:hint="eastAsia" w:ascii="Times New Roman" w:hAnsi="Times New Roman" w:eastAsia="宋体" w:cs="宋体"/>
                <w:b/>
                <w:color w:val="auto"/>
                <w:highlight w:val="none"/>
              </w:rPr>
              <w:t>4、本项分值由招标代理机构负责组织计算，报评标委员会进行审核。</w:t>
            </w:r>
          </w:p>
          <w:p>
            <w:pPr>
              <w:wordWrap w:val="0"/>
              <w:spacing w:line="400" w:lineRule="exact"/>
              <w:rPr>
                <w:rFonts w:hint="eastAsia" w:ascii="Times New Roman" w:hAnsi="Times New Roman" w:eastAsia="宋体" w:cs="宋体"/>
                <w:b/>
                <w:color w:val="auto"/>
                <w:highlight w:val="none"/>
              </w:rPr>
            </w:pPr>
            <w:r>
              <w:rPr>
                <w:rFonts w:hint="eastAsia" w:ascii="Times New Roman" w:hAnsi="Times New Roman" w:eastAsia="宋体" w:cs="宋体"/>
                <w:b/>
                <w:color w:val="auto"/>
                <w:highlight w:val="none"/>
              </w:rPr>
              <w:t>例如：评标基准值B为0.65‰，投标人甲的报价为0.70‰、投标人乙的报价为0.62‰，计算各投标人得分（保留两位小数）如下：</w:t>
            </w:r>
          </w:p>
          <w:p>
            <w:pPr>
              <w:wordWrap w:val="0"/>
              <w:spacing w:line="400" w:lineRule="exact"/>
              <w:rPr>
                <w:rFonts w:hint="eastAsia" w:ascii="Times New Roman" w:hAnsi="Times New Roman" w:eastAsia="宋体" w:cs="宋体"/>
                <w:b/>
                <w:color w:val="auto"/>
                <w:highlight w:val="none"/>
              </w:rPr>
            </w:pPr>
            <w:r>
              <w:rPr>
                <w:rFonts w:hint="eastAsia" w:ascii="Times New Roman" w:hAnsi="Times New Roman" w:eastAsia="宋体" w:cs="宋体"/>
                <w:b/>
                <w:color w:val="auto"/>
                <w:highlight w:val="none"/>
              </w:rPr>
              <w:t>计算投标人甲投标报价与评标基准值的百分比为：【（0.70‰-0.65‰）÷0.65‰】×100=7.69%，其得分=</w:t>
            </w:r>
            <w:r>
              <w:rPr>
                <w:rFonts w:hint="eastAsia" w:ascii="Times New Roman" w:hAnsi="Times New Roman" w:eastAsia="宋体" w:cs="宋体"/>
                <w:b/>
                <w:color w:val="auto"/>
                <w:highlight w:val="none"/>
                <w:lang w:val="en-US" w:eastAsia="zh-CN"/>
              </w:rPr>
              <w:t>100</w:t>
            </w:r>
            <w:r>
              <w:rPr>
                <w:rFonts w:hint="eastAsia" w:ascii="Times New Roman" w:hAnsi="Times New Roman" w:eastAsia="宋体" w:cs="宋体"/>
                <w:b/>
                <w:color w:val="auto"/>
                <w:highlight w:val="none"/>
              </w:rPr>
              <w:t>-7.69*</w:t>
            </w:r>
            <w:r>
              <w:rPr>
                <w:rFonts w:hint="eastAsia" w:ascii="Times New Roman" w:hAnsi="Times New Roman" w:eastAsia="宋体" w:cs="宋体"/>
                <w:b/>
                <w:color w:val="auto"/>
                <w:highlight w:val="none"/>
                <w:lang w:val="en-US" w:eastAsia="zh-CN"/>
              </w:rPr>
              <w:t>1</w:t>
            </w:r>
            <w:r>
              <w:rPr>
                <w:rFonts w:hint="eastAsia" w:ascii="Times New Roman" w:hAnsi="Times New Roman" w:eastAsia="宋体" w:cs="宋体"/>
                <w:b/>
                <w:color w:val="auto"/>
                <w:highlight w:val="none"/>
              </w:rPr>
              <w:t>=</w:t>
            </w:r>
            <w:r>
              <w:rPr>
                <w:rFonts w:hint="eastAsia" w:ascii="Times New Roman" w:hAnsi="Times New Roman" w:eastAsia="宋体" w:cs="宋体"/>
                <w:b/>
                <w:color w:val="auto"/>
                <w:highlight w:val="none"/>
                <w:lang w:val="en-US" w:eastAsia="zh-CN"/>
              </w:rPr>
              <w:t>92.31</w:t>
            </w:r>
            <w:r>
              <w:rPr>
                <w:rFonts w:hint="eastAsia" w:ascii="Times New Roman" w:hAnsi="Times New Roman" w:eastAsia="宋体" w:cs="宋体"/>
                <w:b/>
                <w:color w:val="auto"/>
                <w:highlight w:val="none"/>
              </w:rPr>
              <w:t>分；</w:t>
            </w:r>
          </w:p>
          <w:p>
            <w:pPr>
              <w:wordWrap w:val="0"/>
              <w:spacing w:line="400" w:lineRule="exact"/>
              <w:rPr>
                <w:rFonts w:hint="eastAsia" w:ascii="宋体" w:hAnsi="宋体" w:eastAsia="宋体" w:cs="宋体"/>
                <w:color w:val="auto"/>
                <w:sz w:val="21"/>
                <w:szCs w:val="21"/>
                <w:highlight w:val="none"/>
              </w:rPr>
            </w:pPr>
            <w:r>
              <w:rPr>
                <w:rFonts w:hint="eastAsia" w:ascii="Times New Roman" w:hAnsi="Times New Roman" w:eastAsia="宋体" w:cs="宋体"/>
                <w:b/>
                <w:color w:val="auto"/>
                <w:highlight w:val="none"/>
              </w:rPr>
              <w:t>计算投标人乙投标报价与评标基准值的百分比为：【（0.62‰-0.65‰）÷0.65‰】×100=-4.62%，其得分=</w:t>
            </w:r>
            <w:r>
              <w:rPr>
                <w:rFonts w:hint="eastAsia" w:ascii="Times New Roman" w:hAnsi="Times New Roman" w:eastAsia="宋体" w:cs="宋体"/>
                <w:b/>
                <w:color w:val="auto"/>
                <w:highlight w:val="none"/>
                <w:lang w:val="en-US" w:eastAsia="zh-CN"/>
              </w:rPr>
              <w:t>100</w:t>
            </w:r>
            <w:r>
              <w:rPr>
                <w:rFonts w:hint="eastAsia" w:ascii="Times New Roman" w:hAnsi="Times New Roman" w:eastAsia="宋体" w:cs="宋体"/>
                <w:b/>
                <w:color w:val="auto"/>
                <w:highlight w:val="none"/>
              </w:rPr>
              <w:t>-4.62*0.</w:t>
            </w:r>
            <w:r>
              <w:rPr>
                <w:rFonts w:hint="eastAsia" w:ascii="Times New Roman" w:hAnsi="Times New Roman" w:eastAsia="宋体" w:cs="宋体"/>
                <w:b/>
                <w:color w:val="auto"/>
                <w:highlight w:val="none"/>
                <w:lang w:val="en-US" w:eastAsia="zh-CN"/>
              </w:rPr>
              <w:t>5</w:t>
            </w:r>
            <w:r>
              <w:rPr>
                <w:rFonts w:hint="eastAsia" w:ascii="Times New Roman" w:hAnsi="Times New Roman" w:eastAsia="宋体" w:cs="宋体"/>
                <w:b/>
                <w:color w:val="auto"/>
                <w:highlight w:val="none"/>
              </w:rPr>
              <w:t>=</w:t>
            </w:r>
            <w:r>
              <w:rPr>
                <w:rFonts w:hint="eastAsia" w:ascii="Times New Roman" w:hAnsi="Times New Roman" w:eastAsia="宋体" w:cs="宋体"/>
                <w:b/>
                <w:color w:val="auto"/>
                <w:highlight w:val="none"/>
                <w:lang w:val="en-US" w:eastAsia="zh-CN"/>
              </w:rPr>
              <w:t>97.69</w:t>
            </w:r>
            <w:r>
              <w:rPr>
                <w:rFonts w:hint="eastAsia" w:ascii="Times New Roman" w:hAnsi="Times New Roman" w:eastAsia="宋体" w:cs="宋体"/>
                <w:b/>
                <w:color w:val="auto"/>
                <w:highlight w:val="none"/>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trPr>
        <w:tc>
          <w:tcPr>
            <w:tcW w:w="10103" w:type="dxa"/>
            <w:gridSpan w:val="3"/>
            <w:noWrap w:val="0"/>
            <w:vAlign w:val="center"/>
          </w:tcPr>
          <w:p>
            <w:pPr>
              <w:spacing w:line="440" w:lineRule="exact"/>
              <w:rPr>
                <w:rFonts w:hint="eastAsia" w:ascii="宋体" w:hAnsi="宋体" w:eastAsia="宋体" w:cs="宋体"/>
                <w:color w:val="auto"/>
                <w:sz w:val="21"/>
                <w:szCs w:val="21"/>
                <w:highlight w:val="none"/>
              </w:rPr>
            </w:pPr>
            <w:r>
              <w:rPr>
                <w:rFonts w:hint="eastAsia" w:ascii="宋体" w:cs="宋体"/>
                <w:b/>
                <w:color w:val="auto"/>
                <w:sz w:val="24"/>
                <w:szCs w:val="24"/>
                <w:highlight w:val="none"/>
                <w:lang w:val="en-US" w:eastAsia="zh-CN"/>
              </w:rPr>
              <w:t>注：投标单位所报基本费为</w:t>
            </w:r>
            <w:r>
              <w:rPr>
                <w:rFonts w:hint="eastAsia"/>
                <w:b/>
                <w:bCs/>
                <w:color w:val="auto"/>
                <w:sz w:val="24"/>
                <w:szCs w:val="32"/>
                <w:highlight w:val="none"/>
              </w:rPr>
              <w:t>0或负数的</w:t>
            </w:r>
            <w:r>
              <w:rPr>
                <w:rFonts w:hint="eastAsia"/>
                <w:b/>
                <w:bCs/>
                <w:color w:val="auto"/>
                <w:sz w:val="24"/>
                <w:szCs w:val="32"/>
                <w:highlight w:val="none"/>
                <w:lang w:eastAsia="zh-CN"/>
              </w:rPr>
              <w:t>，</w:t>
            </w:r>
            <w:r>
              <w:rPr>
                <w:rFonts w:hint="eastAsia"/>
                <w:b/>
                <w:bCs/>
                <w:color w:val="auto"/>
                <w:sz w:val="24"/>
                <w:szCs w:val="32"/>
                <w:highlight w:val="none"/>
                <w:lang w:val="en-US" w:eastAsia="zh-CN"/>
              </w:rPr>
              <w:t>其商务标不得分，且该报价所对应的审计费不得作为评标基准价。</w:t>
            </w:r>
          </w:p>
        </w:tc>
      </w:tr>
      <w:bookmarkEnd w:id="56"/>
      <w:bookmarkEnd w:id="79"/>
    </w:tbl>
    <w:p>
      <w:pPr>
        <w:pStyle w:val="7"/>
        <w:adjustRightInd w:val="0"/>
        <w:snapToGrid w:val="0"/>
        <w:spacing w:before="0" w:after="0" w:line="560" w:lineRule="exact"/>
        <w:ind w:firstLine="422" w:firstLineChars="200"/>
        <w:rPr>
          <w:rFonts w:hint="eastAsia" w:ascii="黑体" w:hAnsi="黑体" w:cs="黑体"/>
          <w:color w:val="auto"/>
          <w:sz w:val="21"/>
          <w:szCs w:val="21"/>
        </w:rPr>
      </w:pPr>
      <w:bookmarkStart w:id="80" w:name="_Toc95223429"/>
      <w:r>
        <w:rPr>
          <w:rFonts w:hint="eastAsia" w:ascii="黑体" w:hAnsi="黑体" w:cs="黑体"/>
          <w:color w:val="auto"/>
          <w:sz w:val="21"/>
          <w:szCs w:val="21"/>
        </w:rPr>
        <w:t>1. 评标方法</w:t>
      </w:r>
    </w:p>
    <w:p>
      <w:pPr>
        <w:spacing w:line="340" w:lineRule="exact"/>
        <w:ind w:firstLine="420" w:firstLineChars="200"/>
        <w:rPr>
          <w:rFonts w:hint="eastAsia" w:ascii="宋体" w:hAnsi="宋体" w:cs="宋体"/>
          <w:color w:val="auto"/>
          <w:szCs w:val="21"/>
        </w:rPr>
      </w:pPr>
      <w:r>
        <w:rPr>
          <w:rFonts w:hint="eastAsia" w:ascii="宋体" w:hAnsi="宋体" w:cs="宋体"/>
          <w:color w:val="auto"/>
          <w:szCs w:val="21"/>
        </w:rPr>
        <w:t>本次评标采用综合评估法。评标委员会对满足招标文件实质性要求的投标文件，按照本章规定的评分标准进行打分，并按总得分由高到低顺序推荐中标候选人应当不超过2名，并标明排序，但投标报价低于其成本的除外。如总得分相等，以投标报价低的优先，投标报价仍相等，由评标委员会主任委员或招标人随机抽取确定排名。</w:t>
      </w:r>
    </w:p>
    <w:bookmarkEnd w:id="80"/>
    <w:p>
      <w:pPr>
        <w:pStyle w:val="7"/>
        <w:adjustRightInd w:val="0"/>
        <w:snapToGrid w:val="0"/>
        <w:spacing w:before="0" w:after="0" w:line="560" w:lineRule="exact"/>
        <w:ind w:firstLine="422" w:firstLineChars="200"/>
        <w:rPr>
          <w:rFonts w:hint="eastAsia" w:ascii="黑体" w:hAnsi="黑体" w:cs="黑体"/>
          <w:color w:val="auto"/>
          <w:sz w:val="21"/>
          <w:szCs w:val="21"/>
        </w:rPr>
      </w:pPr>
      <w:bookmarkStart w:id="81" w:name="_Toc95223430"/>
      <w:r>
        <w:rPr>
          <w:rFonts w:hint="eastAsia" w:ascii="黑体" w:hAnsi="黑体" w:cs="黑体"/>
          <w:color w:val="auto"/>
          <w:sz w:val="21"/>
          <w:szCs w:val="21"/>
        </w:rPr>
        <w:t>2.评标委员会的职责</w:t>
      </w:r>
      <w:bookmarkEnd w:id="81"/>
    </w:p>
    <w:p>
      <w:pPr>
        <w:spacing w:line="340" w:lineRule="exact"/>
        <w:ind w:firstLine="420" w:firstLineChars="200"/>
        <w:rPr>
          <w:rFonts w:hint="eastAsia" w:ascii="宋体" w:hAnsi="宋体" w:cs="宋体"/>
          <w:color w:val="auto"/>
          <w:szCs w:val="21"/>
        </w:rPr>
      </w:pPr>
      <w:r>
        <w:rPr>
          <w:rFonts w:hint="eastAsia" w:ascii="宋体" w:hAnsi="宋体" w:cs="宋体"/>
          <w:color w:val="auto"/>
          <w:szCs w:val="21"/>
        </w:rPr>
        <w:t>评标委员会应当根据本评标办法，应进行系统地评审和比较，向招标人推荐中标候选人或根据招标人的授权直接确定中标人。各评委必须独立评审，提出评审意见，不受任何单位或者个人的干预。各评委对其各自评审结果负责，并在评标报告上签字确认。对评标结论持有异议的评标委员会成员可以书面方式阐述其不同意见和理由。评标委员会成员拒绝在评标报告上签字且不陈述其不同意见和理由的，视为同意评标结论。评标委员会应当对此作出书面说明并记录在案。</w:t>
      </w:r>
    </w:p>
    <w:p>
      <w:pPr>
        <w:spacing w:line="340" w:lineRule="exact"/>
        <w:ind w:firstLine="420" w:firstLineChars="200"/>
        <w:rPr>
          <w:rFonts w:hint="eastAsia" w:ascii="宋体" w:hAnsi="宋体" w:cs="宋体"/>
          <w:color w:val="auto"/>
          <w:szCs w:val="21"/>
        </w:rPr>
      </w:pPr>
      <w:r>
        <w:rPr>
          <w:rFonts w:hint="eastAsia" w:ascii="宋体" w:hAnsi="宋体" w:cs="宋体"/>
          <w:color w:val="auto"/>
          <w:szCs w:val="21"/>
        </w:rPr>
        <w:t>评标委员会应加强对报价合理性审查。</w:t>
      </w:r>
      <w:bookmarkStart w:id="82" w:name="_Toc95223431"/>
      <w:r>
        <w:rPr>
          <w:rFonts w:hint="eastAsia" w:ascii="宋体" w:hAnsi="宋体" w:cs="宋体"/>
          <w:color w:val="auto"/>
          <w:szCs w:val="21"/>
        </w:rPr>
        <w:t>评标评审委员会认为拟推荐的中标候选人的报价明显低于其他通过符合性审查投标人的报价，存在异常低价，有可能影响项目质量或者不能诚信履约的，应当要求投标人在评标现场合理的时间内提供书面说明，必要时提交相关证明材料；投标人不能证明其报价合理性的，或评标委员会认定其存在履约及质量安全风险的，评标评审委员会应当将其作为无效投标处理。</w:t>
      </w:r>
    </w:p>
    <w:p>
      <w:pPr>
        <w:pStyle w:val="7"/>
        <w:adjustRightInd w:val="0"/>
        <w:snapToGrid w:val="0"/>
        <w:spacing w:before="0" w:after="0" w:line="560" w:lineRule="exact"/>
        <w:ind w:firstLine="422" w:firstLineChars="200"/>
        <w:rPr>
          <w:rFonts w:hint="eastAsia" w:ascii="黑体" w:hAnsi="黑体" w:cs="黑体"/>
          <w:color w:val="auto"/>
          <w:sz w:val="21"/>
          <w:szCs w:val="21"/>
        </w:rPr>
      </w:pPr>
      <w:r>
        <w:rPr>
          <w:rFonts w:hint="eastAsia" w:ascii="黑体" w:hAnsi="黑体" w:cs="黑体"/>
          <w:color w:val="auto"/>
          <w:sz w:val="21"/>
          <w:szCs w:val="21"/>
        </w:rPr>
        <w:t>3.评标程序</w:t>
      </w:r>
      <w:bookmarkEnd w:id="82"/>
    </w:p>
    <w:p>
      <w:pPr>
        <w:spacing w:line="340" w:lineRule="exact"/>
        <w:ind w:firstLine="420" w:firstLineChars="200"/>
        <w:rPr>
          <w:rFonts w:hint="eastAsia" w:ascii="宋体" w:hAnsi="宋体" w:cs="宋体"/>
          <w:color w:val="auto"/>
          <w:szCs w:val="21"/>
        </w:rPr>
      </w:pPr>
      <w:r>
        <w:rPr>
          <w:rFonts w:hint="eastAsia" w:ascii="宋体" w:hAnsi="宋体" w:cs="宋体"/>
          <w:color w:val="auto"/>
          <w:szCs w:val="21"/>
        </w:rPr>
        <w:t>评标先做准备工作，再进行资格、技术标评审，然后进行商务标评审。</w:t>
      </w:r>
    </w:p>
    <w:p>
      <w:pPr>
        <w:pStyle w:val="7"/>
        <w:adjustRightInd w:val="0"/>
        <w:snapToGrid w:val="0"/>
        <w:spacing w:before="0" w:after="0" w:line="560" w:lineRule="exact"/>
        <w:ind w:firstLine="422" w:firstLineChars="200"/>
        <w:rPr>
          <w:rFonts w:hint="eastAsia" w:ascii="黑体" w:hAnsi="黑体" w:cs="黑体"/>
          <w:color w:val="auto"/>
          <w:sz w:val="21"/>
          <w:szCs w:val="21"/>
        </w:rPr>
      </w:pPr>
      <w:bookmarkStart w:id="83" w:name="_Toc95223432"/>
      <w:r>
        <w:rPr>
          <w:rFonts w:hint="eastAsia" w:ascii="黑体" w:hAnsi="黑体" w:cs="黑体"/>
          <w:color w:val="auto"/>
          <w:sz w:val="21"/>
          <w:szCs w:val="21"/>
        </w:rPr>
        <w:t>3.1评标准备工作</w:t>
      </w:r>
      <w:bookmarkEnd w:id="83"/>
    </w:p>
    <w:p>
      <w:pPr>
        <w:spacing w:line="340" w:lineRule="exact"/>
        <w:ind w:firstLine="420" w:firstLineChars="200"/>
        <w:rPr>
          <w:rFonts w:hint="eastAsia" w:ascii="宋体" w:hAnsi="宋体" w:cs="宋体"/>
          <w:color w:val="auto"/>
          <w:szCs w:val="21"/>
        </w:rPr>
      </w:pPr>
      <w:r>
        <w:rPr>
          <w:rFonts w:hint="eastAsia" w:ascii="宋体" w:hAnsi="宋体" w:cs="宋体"/>
          <w:color w:val="auto"/>
          <w:szCs w:val="21"/>
        </w:rPr>
        <w:t>评标委员会熟悉评标工作情况：</w:t>
      </w:r>
    </w:p>
    <w:p>
      <w:pPr>
        <w:spacing w:line="340" w:lineRule="exact"/>
        <w:ind w:firstLine="420" w:firstLineChars="200"/>
        <w:rPr>
          <w:rFonts w:hint="eastAsia" w:ascii="宋体" w:hAnsi="宋体" w:cs="宋体"/>
          <w:color w:val="auto"/>
          <w:szCs w:val="21"/>
        </w:rPr>
      </w:pPr>
      <w:r>
        <w:rPr>
          <w:rFonts w:hint="eastAsia" w:ascii="宋体" w:hAnsi="宋体" w:cs="宋体"/>
          <w:color w:val="auto"/>
          <w:szCs w:val="21"/>
        </w:rPr>
        <w:t>（1）阅读由招标人或者其委托的工程代理机构编制的招标项目情况材料。</w:t>
      </w:r>
    </w:p>
    <w:p>
      <w:pPr>
        <w:spacing w:line="340" w:lineRule="exact"/>
        <w:ind w:firstLine="420" w:firstLineChars="200"/>
        <w:rPr>
          <w:rFonts w:hint="eastAsia" w:ascii="宋体" w:hAnsi="宋体" w:cs="宋体"/>
          <w:color w:val="auto"/>
          <w:szCs w:val="21"/>
        </w:rPr>
      </w:pPr>
      <w:r>
        <w:rPr>
          <w:rFonts w:hint="eastAsia" w:ascii="宋体" w:hAnsi="宋体" w:cs="宋体"/>
          <w:color w:val="auto"/>
          <w:szCs w:val="21"/>
        </w:rPr>
        <w:t>（2）阅读、研究招标文件和相关评标资料，获取评标所需要的重要信息和数据，至少应了解和熟悉以下内容：招标项目的范围和性质，招标文件规定的主要技术要求、标准和商务条款。</w:t>
      </w:r>
    </w:p>
    <w:p>
      <w:pPr>
        <w:spacing w:line="340" w:lineRule="exact"/>
        <w:ind w:firstLine="420" w:firstLineChars="200"/>
        <w:rPr>
          <w:rFonts w:hint="eastAsia" w:ascii="宋体" w:hAnsi="宋体" w:cs="宋体"/>
          <w:color w:val="auto"/>
          <w:szCs w:val="21"/>
        </w:rPr>
      </w:pPr>
      <w:r>
        <w:rPr>
          <w:rFonts w:hint="eastAsia" w:ascii="宋体" w:hAnsi="宋体" w:cs="宋体"/>
          <w:color w:val="auto"/>
          <w:szCs w:val="21"/>
        </w:rPr>
        <w:t>（3）熟悉招标文件规定的评标标准和评标方法及在评标过程中需要考虑的相关因素。</w:t>
      </w:r>
    </w:p>
    <w:p>
      <w:pPr>
        <w:spacing w:line="340" w:lineRule="exact"/>
        <w:ind w:firstLine="420" w:firstLineChars="200"/>
        <w:rPr>
          <w:rFonts w:hint="eastAsia" w:ascii="宋体" w:hAnsi="宋体" w:cs="宋体"/>
          <w:color w:val="auto"/>
          <w:szCs w:val="21"/>
        </w:rPr>
      </w:pPr>
      <w:r>
        <w:rPr>
          <w:rFonts w:hint="eastAsia" w:ascii="宋体" w:hAnsi="宋体" w:cs="宋体"/>
          <w:color w:val="auto"/>
          <w:szCs w:val="21"/>
        </w:rPr>
        <w:t>（4）核对评标工作用表。</w:t>
      </w:r>
    </w:p>
    <w:p>
      <w:pPr>
        <w:pStyle w:val="7"/>
        <w:adjustRightInd w:val="0"/>
        <w:snapToGrid w:val="0"/>
        <w:spacing w:before="0" w:after="0" w:line="560" w:lineRule="exact"/>
        <w:ind w:firstLine="422" w:firstLineChars="200"/>
        <w:rPr>
          <w:rFonts w:hint="eastAsia" w:ascii="黑体" w:hAnsi="黑体" w:cs="黑体"/>
          <w:color w:val="auto"/>
          <w:sz w:val="21"/>
          <w:szCs w:val="21"/>
        </w:rPr>
      </w:pPr>
      <w:bookmarkStart w:id="84" w:name="_Toc95223433"/>
      <w:r>
        <w:rPr>
          <w:rFonts w:hint="eastAsia" w:ascii="黑体" w:hAnsi="黑体" w:cs="黑体"/>
          <w:color w:val="auto"/>
          <w:sz w:val="21"/>
          <w:szCs w:val="21"/>
        </w:rPr>
        <w:t>3.2技术标评审</w:t>
      </w:r>
      <w:bookmarkEnd w:id="84"/>
    </w:p>
    <w:p>
      <w:pPr>
        <w:spacing w:line="340" w:lineRule="exact"/>
        <w:ind w:firstLine="420" w:firstLineChars="200"/>
        <w:rPr>
          <w:rFonts w:hint="eastAsia" w:ascii="宋体" w:hAnsi="宋体" w:cs="宋体"/>
          <w:color w:val="auto"/>
          <w:szCs w:val="21"/>
        </w:rPr>
      </w:pPr>
      <w:r>
        <w:rPr>
          <w:rFonts w:hint="eastAsia" w:ascii="宋体" w:hAnsi="宋体" w:cs="宋体"/>
          <w:color w:val="auto"/>
          <w:szCs w:val="21"/>
        </w:rPr>
        <w:t>详见技术标评审表。</w:t>
      </w:r>
    </w:p>
    <w:p>
      <w:pPr>
        <w:pStyle w:val="7"/>
        <w:adjustRightInd w:val="0"/>
        <w:snapToGrid w:val="0"/>
        <w:spacing w:before="0" w:after="0" w:line="560" w:lineRule="exact"/>
        <w:ind w:firstLine="422" w:firstLineChars="200"/>
        <w:rPr>
          <w:rFonts w:hint="eastAsia" w:ascii="黑体" w:hAnsi="黑体" w:cs="黑体"/>
          <w:color w:val="auto"/>
          <w:sz w:val="21"/>
          <w:szCs w:val="21"/>
        </w:rPr>
      </w:pPr>
      <w:bookmarkStart w:id="85" w:name="_Toc95223434"/>
      <w:r>
        <w:rPr>
          <w:rFonts w:hint="eastAsia" w:ascii="黑体" w:hAnsi="黑体" w:cs="黑体"/>
          <w:color w:val="auto"/>
          <w:sz w:val="21"/>
          <w:szCs w:val="21"/>
        </w:rPr>
        <w:t>3.3商务标评审</w:t>
      </w:r>
      <w:bookmarkEnd w:id="85"/>
    </w:p>
    <w:p>
      <w:pPr>
        <w:spacing w:line="340" w:lineRule="exact"/>
        <w:ind w:firstLine="420" w:firstLineChars="200"/>
        <w:rPr>
          <w:rFonts w:hint="eastAsia" w:ascii="宋体" w:hAnsi="宋体" w:cs="宋体"/>
          <w:color w:val="auto"/>
          <w:szCs w:val="21"/>
        </w:rPr>
      </w:pPr>
      <w:r>
        <w:rPr>
          <w:rFonts w:hint="eastAsia" w:ascii="宋体" w:hAnsi="宋体" w:cs="宋体"/>
          <w:color w:val="auto"/>
          <w:szCs w:val="21"/>
        </w:rPr>
        <w:t>详见商务标评审表。</w:t>
      </w:r>
    </w:p>
    <w:p>
      <w:pPr>
        <w:pStyle w:val="7"/>
        <w:adjustRightInd w:val="0"/>
        <w:snapToGrid w:val="0"/>
        <w:spacing w:before="0" w:after="0" w:line="560" w:lineRule="exact"/>
        <w:ind w:firstLine="422" w:firstLineChars="200"/>
        <w:rPr>
          <w:rFonts w:hint="eastAsia" w:ascii="黑体" w:hAnsi="黑体" w:cs="黑体"/>
          <w:color w:val="auto"/>
          <w:sz w:val="21"/>
          <w:szCs w:val="21"/>
        </w:rPr>
      </w:pPr>
      <w:r>
        <w:rPr>
          <w:rFonts w:hint="eastAsia" w:ascii="黑体" w:hAnsi="黑体" w:cs="黑体"/>
          <w:color w:val="auto"/>
          <w:sz w:val="21"/>
          <w:szCs w:val="21"/>
        </w:rPr>
        <w:t>3.4推荐中标候选人</w:t>
      </w:r>
    </w:p>
    <w:p>
      <w:pPr>
        <w:spacing w:line="340" w:lineRule="exact"/>
        <w:ind w:firstLine="420" w:firstLineChars="200"/>
        <w:rPr>
          <w:rFonts w:hint="eastAsia" w:ascii="宋体" w:hAnsi="宋体" w:cs="宋体"/>
          <w:color w:val="auto"/>
          <w:szCs w:val="21"/>
        </w:rPr>
      </w:pPr>
      <w:r>
        <w:rPr>
          <w:rFonts w:hint="eastAsia" w:ascii="宋体" w:hAnsi="宋体" w:cs="宋体"/>
          <w:color w:val="auto"/>
          <w:szCs w:val="21"/>
        </w:rPr>
        <w:t>资信评审商务标评审后，推荐中标候选人，并标明排序。</w:t>
      </w:r>
    </w:p>
    <w:p>
      <w:pPr>
        <w:pStyle w:val="7"/>
        <w:adjustRightInd w:val="0"/>
        <w:snapToGrid w:val="0"/>
        <w:spacing w:before="0" w:after="0" w:line="560" w:lineRule="exact"/>
        <w:ind w:firstLine="422" w:firstLineChars="200"/>
        <w:rPr>
          <w:rFonts w:hint="eastAsia" w:ascii="黑体" w:hAnsi="黑体" w:cs="黑体"/>
          <w:color w:val="auto"/>
          <w:sz w:val="21"/>
          <w:szCs w:val="21"/>
        </w:rPr>
      </w:pPr>
      <w:bookmarkStart w:id="86" w:name="_Toc95223435"/>
      <w:r>
        <w:rPr>
          <w:rFonts w:hint="eastAsia" w:ascii="黑体" w:hAnsi="黑体" w:cs="黑体"/>
          <w:color w:val="auto"/>
          <w:sz w:val="21"/>
          <w:szCs w:val="21"/>
        </w:rPr>
        <w:t>4.评审内容</w:t>
      </w:r>
      <w:bookmarkEnd w:id="86"/>
    </w:p>
    <w:p>
      <w:pPr>
        <w:pStyle w:val="7"/>
        <w:adjustRightInd w:val="0"/>
        <w:snapToGrid w:val="0"/>
        <w:spacing w:before="0" w:after="0" w:line="560" w:lineRule="exact"/>
        <w:ind w:firstLine="422" w:firstLineChars="200"/>
        <w:rPr>
          <w:rFonts w:hint="eastAsia" w:ascii="黑体" w:hAnsi="黑体" w:cs="黑体"/>
          <w:color w:val="auto"/>
          <w:sz w:val="21"/>
          <w:szCs w:val="21"/>
        </w:rPr>
      </w:pPr>
      <w:bookmarkStart w:id="87" w:name="_Toc95223436"/>
      <w:r>
        <w:rPr>
          <w:rFonts w:hint="eastAsia" w:ascii="黑体" w:hAnsi="黑体" w:cs="黑体"/>
          <w:color w:val="auto"/>
          <w:sz w:val="21"/>
          <w:szCs w:val="21"/>
        </w:rPr>
        <w:t>4.1技术标评审</w:t>
      </w:r>
      <w:bookmarkEnd w:id="87"/>
    </w:p>
    <w:p>
      <w:pPr>
        <w:spacing w:line="340" w:lineRule="exact"/>
        <w:ind w:firstLine="420" w:firstLineChars="200"/>
        <w:rPr>
          <w:rFonts w:hint="eastAsia" w:ascii="宋体" w:hAnsi="宋体" w:cs="宋体"/>
          <w:color w:val="auto"/>
          <w:szCs w:val="21"/>
        </w:rPr>
      </w:pPr>
      <w:r>
        <w:rPr>
          <w:rFonts w:hint="eastAsia" w:ascii="宋体" w:hAnsi="宋体" w:cs="宋体"/>
          <w:color w:val="auto"/>
          <w:szCs w:val="21"/>
        </w:rPr>
        <w:t>对投标人的技术标进行符合性评审，评审结论采用合格制。对否定的技术标，评标委员会要提出充足的否定理由，并填写在技术标评标记录上。</w:t>
      </w:r>
    </w:p>
    <w:p>
      <w:pPr>
        <w:pStyle w:val="7"/>
        <w:adjustRightInd w:val="0"/>
        <w:snapToGrid w:val="0"/>
        <w:spacing w:before="0" w:after="0" w:line="560" w:lineRule="exact"/>
        <w:ind w:firstLine="422" w:firstLineChars="200"/>
        <w:rPr>
          <w:rFonts w:hint="eastAsia" w:ascii="黑体" w:hAnsi="黑体" w:cs="黑体"/>
          <w:color w:val="auto"/>
          <w:sz w:val="21"/>
          <w:szCs w:val="21"/>
        </w:rPr>
      </w:pPr>
      <w:bookmarkStart w:id="88" w:name="_Toc95223437"/>
      <w:r>
        <w:rPr>
          <w:rFonts w:hint="eastAsia" w:ascii="黑体" w:hAnsi="黑体" w:cs="黑体"/>
          <w:color w:val="auto"/>
          <w:sz w:val="21"/>
          <w:szCs w:val="21"/>
        </w:rPr>
        <w:t>4.2商务标评审</w:t>
      </w:r>
      <w:bookmarkEnd w:id="88"/>
    </w:p>
    <w:p>
      <w:pPr>
        <w:spacing w:line="340" w:lineRule="exact"/>
        <w:ind w:firstLine="420" w:firstLineChars="200"/>
        <w:rPr>
          <w:rFonts w:hint="eastAsia" w:ascii="宋体" w:hAnsi="宋体" w:cs="宋体"/>
          <w:color w:val="auto"/>
          <w:szCs w:val="21"/>
        </w:rPr>
      </w:pPr>
      <w:r>
        <w:rPr>
          <w:rFonts w:hint="eastAsia" w:ascii="宋体" w:hAnsi="宋体" w:cs="宋体"/>
          <w:color w:val="auto"/>
          <w:szCs w:val="21"/>
        </w:rPr>
        <w:t>只有通过技术标评审的投标才能够进入本阶段评审。</w:t>
      </w:r>
    </w:p>
    <w:p>
      <w:pPr>
        <w:spacing w:line="340" w:lineRule="exact"/>
        <w:ind w:firstLine="420" w:firstLineChars="200"/>
        <w:rPr>
          <w:rFonts w:hint="eastAsia" w:ascii="宋体" w:hAnsi="宋体" w:cs="宋体"/>
          <w:color w:val="auto"/>
          <w:szCs w:val="21"/>
        </w:rPr>
      </w:pPr>
      <w:r>
        <w:rPr>
          <w:rFonts w:hint="eastAsia" w:ascii="宋体" w:hAnsi="宋体" w:cs="宋体"/>
          <w:color w:val="auto"/>
          <w:szCs w:val="21"/>
        </w:rPr>
        <w:t>评标委员会依据上述标准对投标文件进行初步评审。有一项不符合评审标准的，作无效投标处理。</w:t>
      </w:r>
    </w:p>
    <w:p>
      <w:pPr>
        <w:pStyle w:val="7"/>
        <w:adjustRightInd w:val="0"/>
        <w:snapToGrid w:val="0"/>
        <w:spacing w:before="0" w:after="0" w:line="560" w:lineRule="exact"/>
        <w:ind w:firstLine="422" w:firstLineChars="200"/>
        <w:rPr>
          <w:rFonts w:hint="eastAsia" w:ascii="黑体" w:hAnsi="黑体" w:cs="黑体"/>
          <w:color w:val="auto"/>
          <w:sz w:val="21"/>
          <w:szCs w:val="21"/>
        </w:rPr>
      </w:pPr>
      <w:bookmarkStart w:id="89" w:name="_Toc95223438"/>
      <w:r>
        <w:rPr>
          <w:rFonts w:hint="eastAsia" w:ascii="黑体" w:hAnsi="黑体" w:cs="黑体"/>
          <w:color w:val="auto"/>
          <w:sz w:val="21"/>
          <w:szCs w:val="21"/>
        </w:rPr>
        <w:t>5.无效投标条款</w:t>
      </w:r>
      <w:bookmarkEnd w:id="89"/>
    </w:p>
    <w:p>
      <w:pPr>
        <w:spacing w:line="340" w:lineRule="exact"/>
        <w:ind w:firstLine="420" w:firstLineChars="200"/>
        <w:rPr>
          <w:rFonts w:hint="eastAsia" w:ascii="宋体" w:hAnsi="宋体" w:cs="宋体"/>
          <w:color w:val="auto"/>
          <w:szCs w:val="21"/>
        </w:rPr>
      </w:pPr>
      <w:r>
        <w:rPr>
          <w:rFonts w:hint="eastAsia" w:ascii="宋体" w:hAnsi="宋体" w:cs="宋体"/>
          <w:color w:val="auto"/>
          <w:szCs w:val="21"/>
        </w:rPr>
        <w:t>5.1投标人存在下列情形的的招标人将拒收投标文件：</w:t>
      </w:r>
    </w:p>
    <w:p>
      <w:pPr>
        <w:spacing w:line="340" w:lineRule="exact"/>
        <w:ind w:firstLine="420" w:firstLineChars="200"/>
        <w:rPr>
          <w:rFonts w:hint="eastAsia" w:ascii="宋体" w:hAnsi="宋体" w:cs="宋体"/>
          <w:color w:val="auto"/>
          <w:szCs w:val="21"/>
        </w:rPr>
      </w:pPr>
      <w:r>
        <w:rPr>
          <w:rFonts w:hint="eastAsia" w:ascii="宋体" w:hAnsi="宋体" w:cs="宋体"/>
          <w:color w:val="auto"/>
          <w:szCs w:val="21"/>
        </w:rPr>
        <w:t>(1) 未在投标截止时间前递交有效投标文件的，投标将被拒绝；</w:t>
      </w:r>
    </w:p>
    <w:p>
      <w:pPr>
        <w:spacing w:line="340" w:lineRule="exact"/>
        <w:ind w:firstLine="420" w:firstLineChars="200"/>
        <w:rPr>
          <w:rFonts w:ascii="宋体" w:hAnsi="宋体" w:cs="宋体"/>
          <w:color w:val="auto"/>
          <w:szCs w:val="21"/>
        </w:rPr>
      </w:pPr>
      <w:r>
        <w:rPr>
          <w:rFonts w:hint="eastAsia" w:ascii="宋体" w:hAnsi="宋体" w:cs="宋体"/>
          <w:color w:val="auto"/>
          <w:szCs w:val="21"/>
        </w:rPr>
        <w:t>（2）未按招标文件要求密封标书的。</w:t>
      </w:r>
    </w:p>
    <w:p>
      <w:pPr>
        <w:spacing w:line="340" w:lineRule="exact"/>
        <w:ind w:firstLine="420" w:firstLineChars="200"/>
        <w:rPr>
          <w:rFonts w:hint="eastAsia" w:ascii="宋体" w:hAnsi="宋体" w:cs="宋体"/>
          <w:color w:val="auto"/>
          <w:szCs w:val="21"/>
        </w:rPr>
      </w:pPr>
      <w:r>
        <w:rPr>
          <w:rFonts w:hint="eastAsia" w:ascii="宋体" w:hAnsi="宋体" w:cs="宋体"/>
          <w:color w:val="auto"/>
          <w:szCs w:val="21"/>
        </w:rPr>
        <w:t>5.2投标人有下列情形的，经评审后其投标作无效投标处理：</w:t>
      </w:r>
    </w:p>
    <w:p>
      <w:pPr>
        <w:spacing w:line="340" w:lineRule="exact"/>
        <w:ind w:firstLine="420" w:firstLineChars="200"/>
        <w:rPr>
          <w:rFonts w:hint="eastAsia" w:ascii="宋体" w:hAnsi="宋体" w:cs="宋体"/>
          <w:color w:val="auto"/>
          <w:szCs w:val="21"/>
        </w:rPr>
      </w:pPr>
      <w:r>
        <w:rPr>
          <w:rFonts w:hint="eastAsia" w:ascii="宋体" w:hAnsi="宋体" w:cs="宋体"/>
          <w:color w:val="auto"/>
          <w:szCs w:val="21"/>
        </w:rPr>
        <w:t>（1）投标人有串通投标、视为串通投标、弄虚作假、行贿等违法行为。</w:t>
      </w:r>
    </w:p>
    <w:p>
      <w:pPr>
        <w:spacing w:line="340" w:lineRule="exact"/>
        <w:ind w:firstLine="420" w:firstLineChars="200"/>
        <w:rPr>
          <w:rFonts w:hint="eastAsia" w:ascii="宋体" w:hAnsi="宋体" w:cs="宋体"/>
          <w:color w:val="auto"/>
          <w:szCs w:val="21"/>
        </w:rPr>
      </w:pPr>
      <w:r>
        <w:rPr>
          <w:rFonts w:hint="eastAsia" w:ascii="宋体" w:hAnsi="宋体" w:cs="宋体"/>
          <w:color w:val="auto"/>
          <w:szCs w:val="21"/>
        </w:rPr>
        <w:t>（2）投标文件没有对招标文件的实质性要求和条件作出响应。</w:t>
      </w:r>
    </w:p>
    <w:p>
      <w:pPr>
        <w:spacing w:line="340" w:lineRule="exact"/>
        <w:ind w:firstLine="420" w:firstLineChars="200"/>
        <w:rPr>
          <w:rFonts w:hint="eastAsia" w:ascii="宋体" w:hAnsi="宋体" w:cs="宋体"/>
          <w:color w:val="auto"/>
          <w:szCs w:val="21"/>
        </w:rPr>
      </w:pPr>
      <w:r>
        <w:rPr>
          <w:rFonts w:hint="eastAsia" w:ascii="宋体" w:hAnsi="宋体" w:cs="宋体"/>
          <w:color w:val="auto"/>
          <w:szCs w:val="21"/>
        </w:rPr>
        <w:t>（3）实质性内容不全或关键字迹模糊、无法辨认的，经评委会一致认定的。</w:t>
      </w:r>
    </w:p>
    <w:p>
      <w:pPr>
        <w:spacing w:line="340" w:lineRule="exact"/>
        <w:ind w:firstLine="420" w:firstLineChars="200"/>
        <w:rPr>
          <w:rFonts w:hint="eastAsia" w:ascii="宋体" w:hAnsi="宋体" w:cs="宋体"/>
          <w:color w:val="auto"/>
          <w:szCs w:val="21"/>
        </w:rPr>
      </w:pPr>
      <w:r>
        <w:rPr>
          <w:rFonts w:hint="eastAsia" w:ascii="宋体" w:hAnsi="宋体" w:cs="宋体"/>
          <w:color w:val="auto"/>
          <w:szCs w:val="21"/>
        </w:rPr>
        <w:t>（4）未按规定的格式填写，经评委会一致认定的。</w:t>
      </w:r>
    </w:p>
    <w:p>
      <w:pPr>
        <w:spacing w:line="340" w:lineRule="exact"/>
        <w:ind w:firstLine="420" w:firstLineChars="200"/>
        <w:rPr>
          <w:rFonts w:hint="eastAsia" w:ascii="宋体" w:hAnsi="宋体" w:cs="宋体"/>
          <w:color w:val="auto"/>
          <w:szCs w:val="21"/>
        </w:rPr>
      </w:pPr>
      <w:r>
        <w:rPr>
          <w:rFonts w:hint="eastAsia" w:ascii="宋体" w:hAnsi="宋体" w:cs="宋体"/>
          <w:color w:val="auto"/>
          <w:szCs w:val="21"/>
        </w:rPr>
        <w:t>（5）同一投标人提交两个以上不同的投标文件或者投标报价，但招标文件规定提交备选投标的除外。</w:t>
      </w:r>
    </w:p>
    <w:p>
      <w:pPr>
        <w:spacing w:line="340" w:lineRule="exact"/>
        <w:ind w:firstLine="420" w:firstLineChars="200"/>
        <w:rPr>
          <w:rFonts w:hint="eastAsia" w:ascii="宋体" w:hAnsi="宋体" w:cs="宋体"/>
          <w:color w:val="auto"/>
          <w:szCs w:val="21"/>
        </w:rPr>
      </w:pPr>
      <w:r>
        <w:rPr>
          <w:rFonts w:hint="eastAsia" w:ascii="宋体" w:hAnsi="宋体" w:cs="宋体"/>
          <w:color w:val="auto"/>
          <w:szCs w:val="21"/>
        </w:rPr>
        <w:t>（6）投标文件中存在招标人不能接受的其他实质性条件。</w:t>
      </w:r>
    </w:p>
    <w:p>
      <w:pPr>
        <w:spacing w:line="340" w:lineRule="exact"/>
        <w:ind w:firstLine="420" w:firstLineChars="200"/>
        <w:rPr>
          <w:rFonts w:hint="eastAsia" w:ascii="宋体" w:hAnsi="宋体" w:cs="宋体"/>
          <w:color w:val="auto"/>
          <w:szCs w:val="21"/>
        </w:rPr>
      </w:pPr>
      <w:r>
        <w:rPr>
          <w:rFonts w:hint="eastAsia" w:ascii="宋体" w:hAnsi="宋体" w:cs="宋体"/>
          <w:color w:val="auto"/>
          <w:szCs w:val="21"/>
        </w:rPr>
        <w:t>（7）投标文件中填报的拟任项目负责人与资格审查通过的项目负责人前后不一致的。</w:t>
      </w:r>
    </w:p>
    <w:p>
      <w:pPr>
        <w:spacing w:line="340" w:lineRule="exact"/>
        <w:ind w:firstLine="420" w:firstLineChars="200"/>
        <w:rPr>
          <w:rFonts w:hint="eastAsia" w:ascii="宋体" w:hAnsi="宋体" w:cs="宋体"/>
          <w:color w:val="auto"/>
          <w:szCs w:val="21"/>
        </w:rPr>
      </w:pPr>
      <w:r>
        <w:rPr>
          <w:rFonts w:hint="eastAsia" w:ascii="宋体" w:hAnsi="宋体" w:cs="宋体"/>
          <w:color w:val="auto"/>
          <w:szCs w:val="21"/>
        </w:rPr>
        <w:t>（8）投标人拒不按照要求对投标文件进行澄清、说明、补正的，或评标委员会根据招标文件的规定对招标文件的计算错误进行修正后，投标人不接受修正的投标报价的。</w:t>
      </w:r>
    </w:p>
    <w:p>
      <w:pPr>
        <w:spacing w:line="340" w:lineRule="exact"/>
        <w:ind w:firstLine="420" w:firstLineChars="200"/>
        <w:rPr>
          <w:rFonts w:hint="eastAsia" w:ascii="宋体" w:hAnsi="宋体" w:cs="宋体"/>
          <w:color w:val="auto"/>
          <w:szCs w:val="21"/>
        </w:rPr>
      </w:pPr>
      <w:r>
        <w:rPr>
          <w:rFonts w:hint="eastAsia" w:ascii="宋体" w:hAnsi="宋体" w:cs="宋体"/>
          <w:color w:val="auto"/>
          <w:szCs w:val="21"/>
        </w:rPr>
        <w:t>（9）投标人单方面出现其他投标人材料。</w:t>
      </w:r>
    </w:p>
    <w:p>
      <w:pPr>
        <w:spacing w:line="340" w:lineRule="exact"/>
        <w:ind w:firstLine="420" w:firstLineChars="200"/>
        <w:rPr>
          <w:rFonts w:hint="eastAsia" w:ascii="宋体" w:hAnsi="宋体" w:cs="宋体"/>
          <w:color w:val="auto"/>
          <w:szCs w:val="21"/>
        </w:rPr>
      </w:pPr>
      <w:r>
        <w:rPr>
          <w:rFonts w:hint="eastAsia" w:ascii="宋体" w:hAnsi="宋体" w:cs="宋体"/>
          <w:color w:val="auto"/>
          <w:szCs w:val="21"/>
        </w:rPr>
        <w:t>（10）法律、法规规定的其他情形。</w:t>
      </w:r>
    </w:p>
    <w:p>
      <w:pPr>
        <w:pStyle w:val="7"/>
        <w:adjustRightInd w:val="0"/>
        <w:snapToGrid w:val="0"/>
        <w:spacing w:before="0" w:after="0" w:line="560" w:lineRule="exact"/>
        <w:ind w:firstLine="422" w:firstLineChars="200"/>
        <w:rPr>
          <w:rFonts w:hint="eastAsia" w:ascii="黑体" w:hAnsi="黑体" w:cs="黑体"/>
          <w:color w:val="auto"/>
          <w:sz w:val="21"/>
          <w:szCs w:val="21"/>
        </w:rPr>
      </w:pPr>
      <w:bookmarkStart w:id="90" w:name="_Toc95223439"/>
      <w:r>
        <w:rPr>
          <w:rFonts w:hint="eastAsia" w:ascii="黑体" w:hAnsi="黑体" w:cs="黑体"/>
          <w:color w:val="auto"/>
          <w:sz w:val="21"/>
          <w:szCs w:val="21"/>
        </w:rPr>
        <w:t>6.投标文件的澄清和补正</w:t>
      </w:r>
      <w:bookmarkEnd w:id="90"/>
    </w:p>
    <w:p>
      <w:pPr>
        <w:spacing w:line="340" w:lineRule="exact"/>
        <w:ind w:firstLine="420" w:firstLineChars="200"/>
        <w:rPr>
          <w:rFonts w:hint="eastAsia" w:ascii="宋体" w:hAnsi="宋体" w:cs="宋体"/>
          <w:color w:val="auto"/>
          <w:szCs w:val="21"/>
        </w:rPr>
      </w:pPr>
      <w:r>
        <w:rPr>
          <w:rFonts w:hint="eastAsia" w:ascii="宋体" w:hAnsi="宋体" w:cs="宋体"/>
          <w:color w:val="auto"/>
          <w:szCs w:val="21"/>
        </w:rPr>
        <w:t>6.1在评标过程中，评标委员会可以书面形式要求投标人对所提交的投标文件中含义不明确、对同类问题表述不一致或者有明显文字和计算错误”，其他评标办法请一并修改的内容进行书面澄清或说明，或者对细微偏差进行补正。评标委员会不接受投标人主动提出的澄清、说明或补正。</w:t>
      </w:r>
    </w:p>
    <w:p>
      <w:pPr>
        <w:spacing w:line="340" w:lineRule="exact"/>
        <w:ind w:firstLine="420" w:firstLineChars="200"/>
        <w:rPr>
          <w:rFonts w:hint="eastAsia" w:ascii="宋体" w:hAnsi="宋体" w:cs="宋体"/>
          <w:color w:val="auto"/>
          <w:szCs w:val="21"/>
        </w:rPr>
      </w:pPr>
      <w:r>
        <w:rPr>
          <w:rFonts w:hint="eastAsia" w:ascii="宋体" w:hAnsi="宋体" w:cs="宋体"/>
          <w:color w:val="auto"/>
          <w:szCs w:val="21"/>
        </w:rPr>
        <w:t>6.2澄清、说明和补正不得改变投标文件的实质性内容（算术性错误修正的除外）。投标人的书面澄清、说明和补正属于投标文件的组成部分。</w:t>
      </w:r>
    </w:p>
    <w:p>
      <w:pPr>
        <w:spacing w:line="340" w:lineRule="exact"/>
        <w:ind w:firstLine="420" w:firstLineChars="200"/>
        <w:rPr>
          <w:rFonts w:hint="eastAsia" w:ascii="宋体" w:hAnsi="宋体" w:cs="宋体"/>
          <w:color w:val="auto"/>
          <w:szCs w:val="21"/>
        </w:rPr>
      </w:pPr>
      <w:r>
        <w:rPr>
          <w:rFonts w:hint="eastAsia" w:ascii="宋体" w:hAnsi="宋体" w:cs="宋体"/>
          <w:color w:val="auto"/>
          <w:szCs w:val="21"/>
        </w:rPr>
        <w:t>6.3评标委员会对投标人提交的澄清、说明和补正有疑问的，可以要求投标人进一步澄清、说明或补正、直至满足评标委员会的要求。</w:t>
      </w:r>
    </w:p>
    <w:p>
      <w:pPr>
        <w:spacing w:line="340" w:lineRule="exact"/>
        <w:ind w:firstLine="420" w:firstLineChars="200"/>
        <w:rPr>
          <w:rFonts w:hint="eastAsia" w:ascii="宋体" w:hAnsi="宋体" w:cs="宋体"/>
          <w:color w:val="auto"/>
          <w:szCs w:val="21"/>
        </w:rPr>
      </w:pPr>
      <w:r>
        <w:rPr>
          <w:rFonts w:hint="eastAsia" w:ascii="宋体" w:hAnsi="宋体" w:cs="宋体"/>
          <w:color w:val="auto"/>
          <w:szCs w:val="21"/>
        </w:rPr>
        <w:t>按照投标文件规定进行澄清、补正后的投标报价经投标人的法定代表人或其委托代理人确认后即为该投标人的最终投标报价。投标人一旦中标，此报价即为中标价。</w:t>
      </w:r>
    </w:p>
    <w:p>
      <w:pPr>
        <w:pStyle w:val="7"/>
        <w:adjustRightInd w:val="0"/>
        <w:snapToGrid w:val="0"/>
        <w:spacing w:before="0" w:after="0" w:line="560" w:lineRule="exact"/>
        <w:ind w:firstLine="422" w:firstLineChars="200"/>
        <w:rPr>
          <w:rFonts w:hint="eastAsia" w:ascii="黑体" w:hAnsi="黑体" w:cs="黑体"/>
          <w:color w:val="auto"/>
          <w:sz w:val="21"/>
          <w:szCs w:val="21"/>
        </w:rPr>
      </w:pPr>
      <w:bookmarkStart w:id="91" w:name="_Toc95223440"/>
      <w:r>
        <w:rPr>
          <w:rFonts w:hint="eastAsia" w:ascii="黑体" w:hAnsi="黑体" w:cs="黑体"/>
          <w:color w:val="auto"/>
          <w:sz w:val="21"/>
          <w:szCs w:val="21"/>
        </w:rPr>
        <w:t>7.评分标准</w:t>
      </w:r>
      <w:bookmarkEnd w:id="91"/>
    </w:p>
    <w:p>
      <w:pPr>
        <w:spacing w:line="340" w:lineRule="exact"/>
        <w:ind w:firstLine="420" w:firstLineChars="200"/>
        <w:rPr>
          <w:rFonts w:hint="eastAsia" w:ascii="宋体" w:hAnsi="宋体" w:cs="宋体"/>
          <w:color w:val="auto"/>
          <w:szCs w:val="21"/>
        </w:rPr>
      </w:pPr>
      <w:r>
        <w:rPr>
          <w:rFonts w:hint="eastAsia" w:ascii="宋体" w:hAnsi="宋体" w:cs="宋体"/>
          <w:color w:val="auto"/>
          <w:szCs w:val="21"/>
        </w:rPr>
        <w:t>7.1评分标准：见资信、技术及商务评分表。</w:t>
      </w:r>
    </w:p>
    <w:p>
      <w:pPr>
        <w:pStyle w:val="7"/>
        <w:adjustRightInd w:val="0"/>
        <w:snapToGrid w:val="0"/>
        <w:spacing w:before="0" w:after="0" w:line="560" w:lineRule="exact"/>
        <w:ind w:firstLine="422" w:firstLineChars="200"/>
        <w:rPr>
          <w:rFonts w:hint="eastAsia" w:ascii="黑体" w:hAnsi="黑体" w:cs="黑体"/>
          <w:color w:val="auto"/>
          <w:sz w:val="21"/>
          <w:szCs w:val="21"/>
        </w:rPr>
      </w:pPr>
      <w:bookmarkStart w:id="92" w:name="_Toc95223441"/>
      <w:r>
        <w:rPr>
          <w:rFonts w:hint="eastAsia" w:ascii="黑体" w:hAnsi="黑体" w:cs="黑体"/>
          <w:color w:val="auto"/>
          <w:sz w:val="21"/>
          <w:szCs w:val="21"/>
        </w:rPr>
        <w:t>8.评审结果</w:t>
      </w:r>
      <w:bookmarkEnd w:id="92"/>
    </w:p>
    <w:p>
      <w:pPr>
        <w:spacing w:line="340" w:lineRule="exact"/>
        <w:ind w:firstLine="420" w:firstLineChars="200"/>
        <w:rPr>
          <w:rFonts w:hint="eastAsia" w:ascii="宋体" w:hAnsi="宋体" w:cs="宋体"/>
          <w:color w:val="auto"/>
          <w:szCs w:val="21"/>
        </w:rPr>
      </w:pPr>
      <w:r>
        <w:rPr>
          <w:rFonts w:hint="eastAsia" w:ascii="宋体" w:hAnsi="宋体" w:cs="宋体"/>
          <w:color w:val="auto"/>
          <w:szCs w:val="21"/>
        </w:rPr>
        <w:t>8.1除“投标人须知”及其前附表授权直接确定中标人外，评标委员会按照总得分由高到低顺序推荐中标候选人。</w:t>
      </w:r>
    </w:p>
    <w:p>
      <w:pPr>
        <w:spacing w:line="340" w:lineRule="exact"/>
        <w:ind w:firstLine="420" w:firstLineChars="200"/>
        <w:rPr>
          <w:rFonts w:hint="eastAsia" w:ascii="宋体" w:hAnsi="宋体" w:cs="宋体"/>
          <w:color w:val="auto"/>
          <w:szCs w:val="21"/>
        </w:rPr>
      </w:pPr>
      <w:r>
        <w:rPr>
          <w:rFonts w:hint="eastAsia" w:ascii="宋体" w:hAnsi="宋体" w:cs="宋体"/>
          <w:color w:val="auto"/>
          <w:szCs w:val="21"/>
        </w:rPr>
        <w:t>8.2评标委员会完成评标后，应当向招标人提交书面评标报告。评标报告应当如实记载以下内容：</w:t>
      </w:r>
    </w:p>
    <w:p>
      <w:pPr>
        <w:spacing w:line="340" w:lineRule="exact"/>
        <w:ind w:firstLine="420" w:firstLineChars="200"/>
        <w:rPr>
          <w:rFonts w:hint="eastAsia" w:ascii="宋体" w:hAnsi="宋体" w:cs="宋体"/>
          <w:color w:val="auto"/>
          <w:szCs w:val="21"/>
        </w:rPr>
      </w:pPr>
      <w:r>
        <w:rPr>
          <w:rFonts w:hint="eastAsia" w:ascii="宋体" w:hAnsi="宋体" w:cs="宋体"/>
          <w:color w:val="auto"/>
          <w:szCs w:val="21"/>
        </w:rPr>
        <w:t>（1）基本情况和数据表。</w:t>
      </w:r>
    </w:p>
    <w:p>
      <w:pPr>
        <w:spacing w:line="340" w:lineRule="exact"/>
        <w:ind w:firstLine="420" w:firstLineChars="200"/>
        <w:rPr>
          <w:rFonts w:hint="eastAsia" w:ascii="宋体" w:hAnsi="宋体" w:cs="宋体"/>
          <w:color w:val="auto"/>
          <w:szCs w:val="21"/>
        </w:rPr>
      </w:pPr>
      <w:r>
        <w:rPr>
          <w:rFonts w:hint="eastAsia" w:ascii="宋体" w:hAnsi="宋体" w:cs="宋体"/>
          <w:color w:val="auto"/>
          <w:szCs w:val="21"/>
        </w:rPr>
        <w:t>（2）评标委员会成员名单。</w:t>
      </w:r>
    </w:p>
    <w:p>
      <w:pPr>
        <w:spacing w:line="340" w:lineRule="exact"/>
        <w:ind w:firstLine="420" w:firstLineChars="200"/>
        <w:rPr>
          <w:rFonts w:hint="eastAsia" w:ascii="宋体" w:hAnsi="宋体" w:cs="宋体"/>
          <w:color w:val="auto"/>
          <w:szCs w:val="21"/>
        </w:rPr>
      </w:pPr>
      <w:r>
        <w:rPr>
          <w:rFonts w:hint="eastAsia" w:ascii="宋体" w:hAnsi="宋体" w:cs="宋体"/>
          <w:color w:val="auto"/>
          <w:szCs w:val="21"/>
        </w:rPr>
        <w:t>（3）开标记录。</w:t>
      </w:r>
    </w:p>
    <w:p>
      <w:pPr>
        <w:spacing w:line="340" w:lineRule="exact"/>
        <w:ind w:firstLine="420" w:firstLineChars="200"/>
        <w:rPr>
          <w:rFonts w:hint="eastAsia" w:ascii="宋体" w:hAnsi="宋体" w:cs="宋体"/>
          <w:color w:val="auto"/>
          <w:szCs w:val="21"/>
        </w:rPr>
      </w:pPr>
      <w:r>
        <w:rPr>
          <w:rFonts w:hint="eastAsia" w:ascii="宋体" w:hAnsi="宋体" w:cs="宋体"/>
          <w:color w:val="auto"/>
          <w:szCs w:val="21"/>
        </w:rPr>
        <w:t>（4）符合要求的投标人一览表。</w:t>
      </w:r>
    </w:p>
    <w:p>
      <w:pPr>
        <w:spacing w:line="340" w:lineRule="exact"/>
        <w:ind w:firstLine="420" w:firstLineChars="200"/>
        <w:rPr>
          <w:rFonts w:hint="eastAsia" w:ascii="宋体" w:hAnsi="宋体" w:cs="宋体"/>
          <w:color w:val="auto"/>
          <w:szCs w:val="21"/>
        </w:rPr>
      </w:pPr>
      <w:r>
        <w:rPr>
          <w:rFonts w:hint="eastAsia" w:ascii="宋体" w:hAnsi="宋体" w:cs="宋体"/>
          <w:color w:val="auto"/>
          <w:szCs w:val="21"/>
        </w:rPr>
        <w:t>（5）否决投标情况说明。</w:t>
      </w:r>
    </w:p>
    <w:p>
      <w:pPr>
        <w:spacing w:line="340" w:lineRule="exact"/>
        <w:ind w:firstLine="420" w:firstLineChars="200"/>
        <w:rPr>
          <w:rFonts w:hint="eastAsia" w:ascii="宋体" w:hAnsi="宋体" w:cs="宋体"/>
          <w:color w:val="auto"/>
          <w:szCs w:val="21"/>
        </w:rPr>
      </w:pPr>
      <w:r>
        <w:rPr>
          <w:rFonts w:hint="eastAsia" w:ascii="宋体" w:hAnsi="宋体" w:cs="宋体"/>
          <w:color w:val="auto"/>
          <w:szCs w:val="21"/>
        </w:rPr>
        <w:t>（6）评标标准、评标方法或者评标因素。</w:t>
      </w:r>
    </w:p>
    <w:p>
      <w:pPr>
        <w:spacing w:line="340" w:lineRule="exact"/>
        <w:ind w:firstLine="420" w:firstLineChars="200"/>
        <w:rPr>
          <w:rFonts w:hint="eastAsia" w:ascii="宋体" w:hAnsi="宋体" w:cs="宋体"/>
          <w:color w:val="auto"/>
          <w:szCs w:val="21"/>
        </w:rPr>
      </w:pPr>
      <w:r>
        <w:rPr>
          <w:rFonts w:hint="eastAsia" w:ascii="宋体" w:hAnsi="宋体" w:cs="宋体"/>
          <w:color w:val="auto"/>
          <w:szCs w:val="21"/>
        </w:rPr>
        <w:t>（7）评标情况一览表。</w:t>
      </w:r>
    </w:p>
    <w:p>
      <w:pPr>
        <w:spacing w:line="340" w:lineRule="exact"/>
        <w:ind w:firstLine="420" w:firstLineChars="200"/>
        <w:rPr>
          <w:rFonts w:hint="eastAsia" w:ascii="宋体" w:hAnsi="宋体" w:cs="宋体"/>
          <w:color w:val="auto"/>
          <w:szCs w:val="21"/>
        </w:rPr>
      </w:pPr>
      <w:r>
        <w:rPr>
          <w:rFonts w:hint="eastAsia" w:ascii="宋体" w:hAnsi="宋体" w:cs="宋体"/>
          <w:color w:val="auto"/>
          <w:szCs w:val="21"/>
        </w:rPr>
        <w:t>（8）经评审的投标人排序。</w:t>
      </w:r>
    </w:p>
    <w:p>
      <w:pPr>
        <w:spacing w:line="340" w:lineRule="exact"/>
        <w:ind w:firstLine="420" w:firstLineChars="200"/>
        <w:rPr>
          <w:rFonts w:hint="eastAsia" w:ascii="宋体" w:hAnsi="宋体" w:cs="宋体"/>
          <w:color w:val="auto"/>
          <w:szCs w:val="21"/>
        </w:rPr>
      </w:pPr>
      <w:r>
        <w:rPr>
          <w:rFonts w:hint="eastAsia" w:ascii="宋体" w:hAnsi="宋体" w:cs="宋体"/>
          <w:color w:val="auto"/>
          <w:szCs w:val="21"/>
        </w:rPr>
        <w:t>（9）推荐的中标候选人名单与签订合同前要处理的事宜。</w:t>
      </w:r>
    </w:p>
    <w:p>
      <w:pPr>
        <w:spacing w:line="340" w:lineRule="exact"/>
        <w:ind w:firstLine="420" w:firstLineChars="200"/>
        <w:rPr>
          <w:rFonts w:hint="eastAsia" w:ascii="宋体" w:hAnsi="宋体" w:cs="宋体"/>
          <w:color w:val="auto"/>
          <w:szCs w:val="21"/>
        </w:rPr>
      </w:pPr>
      <w:r>
        <w:rPr>
          <w:rFonts w:hint="eastAsia" w:ascii="宋体" w:hAnsi="宋体" w:cs="宋体"/>
          <w:color w:val="auto"/>
          <w:szCs w:val="21"/>
        </w:rPr>
        <w:t>（10）澄清、说明、补正事项纪要。</w:t>
      </w:r>
    </w:p>
    <w:p>
      <w:pPr>
        <w:spacing w:line="340" w:lineRule="exact"/>
        <w:ind w:firstLine="420" w:firstLineChars="200"/>
        <w:rPr>
          <w:rFonts w:hint="eastAsia" w:ascii="宋体" w:hAnsi="宋体" w:cs="宋体"/>
          <w:color w:val="auto"/>
          <w:szCs w:val="21"/>
        </w:rPr>
      </w:pPr>
      <w:r>
        <w:rPr>
          <w:rFonts w:hint="eastAsia" w:ascii="宋体" w:hAnsi="宋体" w:cs="宋体"/>
          <w:color w:val="auto"/>
          <w:szCs w:val="21"/>
        </w:rPr>
        <w:t>8.3依法必须进行招标的项目，招标人应当确定排名第一的中标候选人为中标人。排名第一的中标候选人放弃中标、因不可抗力不能履行合同、不按照招标文件要求提交履约保证金，或者被查实存在影响中标结果的违法行为等情形，不符合中标条件的，投标保证金不予退还，招标人可以按照评标委员会提出的中标候选人名单排序依次确定其他中标候选人为中标人，也可以重新招标。</w:t>
      </w:r>
    </w:p>
    <w:p>
      <w:pPr>
        <w:spacing w:line="340" w:lineRule="exact"/>
        <w:ind w:firstLine="420" w:firstLineChars="200"/>
        <w:rPr>
          <w:rFonts w:hint="eastAsia" w:ascii="宋体" w:hAnsi="宋体" w:cs="宋体"/>
          <w:color w:val="auto"/>
          <w:szCs w:val="21"/>
        </w:rPr>
      </w:pPr>
      <w:r>
        <w:rPr>
          <w:rFonts w:hint="eastAsia" w:ascii="宋体" w:hAnsi="宋体" w:cs="宋体"/>
          <w:color w:val="auto"/>
          <w:szCs w:val="21"/>
        </w:rPr>
        <w:t>依法必须进行招标的项目，除第一中标候选人或者中标人以外的其他投标人存在串通投标、弄虚作假、行贿情形且在评标过程中未被发现的，视为对中标结果没有造成实质性影响，招标人可以依法继续开展招标活动。</w:t>
      </w:r>
    </w:p>
    <w:p>
      <w:pPr>
        <w:pStyle w:val="7"/>
        <w:adjustRightInd w:val="0"/>
        <w:snapToGrid w:val="0"/>
        <w:spacing w:before="0" w:after="0" w:line="560" w:lineRule="exact"/>
        <w:ind w:firstLine="422" w:firstLineChars="200"/>
        <w:rPr>
          <w:rFonts w:hint="eastAsia" w:ascii="黑体" w:hAnsi="黑体" w:cs="黑体"/>
          <w:color w:val="auto"/>
          <w:sz w:val="21"/>
          <w:szCs w:val="21"/>
        </w:rPr>
      </w:pPr>
      <w:bookmarkStart w:id="93" w:name="_Toc95223442"/>
      <w:r>
        <w:rPr>
          <w:rFonts w:hint="eastAsia" w:ascii="黑体" w:hAnsi="黑体" w:cs="黑体"/>
          <w:color w:val="auto"/>
          <w:sz w:val="21"/>
          <w:szCs w:val="21"/>
        </w:rPr>
        <w:t>9.其他</w:t>
      </w:r>
      <w:bookmarkEnd w:id="93"/>
    </w:p>
    <w:p>
      <w:pPr>
        <w:spacing w:line="340" w:lineRule="exact"/>
        <w:ind w:firstLine="420" w:firstLineChars="200"/>
        <w:rPr>
          <w:rFonts w:hint="eastAsia" w:ascii="宋体" w:hAnsi="宋体" w:cs="宋体"/>
          <w:color w:val="auto"/>
          <w:szCs w:val="21"/>
        </w:rPr>
      </w:pPr>
      <w:r>
        <w:rPr>
          <w:rFonts w:hint="eastAsia" w:ascii="宋体" w:hAnsi="宋体" w:cs="宋体"/>
          <w:color w:val="auto"/>
          <w:szCs w:val="21"/>
        </w:rPr>
        <w:t>投标人提供的与投标文件有关的各类证书、证明、文件、资料等的真实性、合法性由投标人负全责。</w:t>
      </w:r>
    </w:p>
    <w:p>
      <w:pPr>
        <w:pStyle w:val="2"/>
        <w:ind w:left="0" w:leftChars="0" w:firstLine="0" w:firstLineChars="0"/>
        <w:rPr>
          <w:rFonts w:hint="eastAsia"/>
          <w:color w:val="auto"/>
        </w:rPr>
      </w:pPr>
    </w:p>
    <w:p>
      <w:pPr>
        <w:pStyle w:val="6"/>
        <w:pageBreakBefore w:val="0"/>
        <w:kinsoku/>
        <w:wordWrap/>
        <w:overflowPunct/>
        <w:topLinePunct w:val="0"/>
        <w:autoSpaceDE/>
        <w:autoSpaceDN/>
        <w:bidi w:val="0"/>
        <w:spacing w:before="0" w:after="0" w:line="560" w:lineRule="exact"/>
        <w:textAlignment w:val="auto"/>
        <w:rPr>
          <w:rFonts w:hint="eastAsia" w:ascii="宋体" w:hAnsi="宋体" w:eastAsia="宋体" w:cs="宋体"/>
          <w:color w:val="auto"/>
          <w:kern w:val="2"/>
          <w:sz w:val="28"/>
          <w:szCs w:val="28"/>
        </w:rPr>
      </w:pPr>
      <w:bookmarkStart w:id="94" w:name="_Toc58430328"/>
      <w:r>
        <w:rPr>
          <w:rFonts w:hint="eastAsia" w:ascii="宋体" w:hAnsi="宋体" w:eastAsia="宋体" w:cs="宋体"/>
          <w:color w:val="auto"/>
          <w:kern w:val="2"/>
          <w:sz w:val="28"/>
          <w:szCs w:val="28"/>
          <w:lang w:val="en-US" w:eastAsia="zh-CN"/>
        </w:rPr>
        <w:t>第四章</w:t>
      </w:r>
      <w:r>
        <w:rPr>
          <w:rFonts w:hint="eastAsia" w:ascii="宋体" w:hAnsi="宋体" w:eastAsia="宋体" w:cs="宋体"/>
          <w:color w:val="auto"/>
          <w:kern w:val="2"/>
          <w:sz w:val="28"/>
          <w:szCs w:val="28"/>
        </w:rPr>
        <w:t xml:space="preserve">  采购需求及服务要求</w:t>
      </w:r>
      <w:bookmarkEnd w:id="57"/>
      <w:bookmarkEnd w:id="94"/>
    </w:p>
    <w:p>
      <w:pPr>
        <w:snapToGrid w:val="0"/>
        <w:spacing w:line="640" w:lineRule="exact"/>
        <w:jc w:val="center"/>
        <w:rPr>
          <w:rFonts w:hint="eastAsia" w:ascii="宋体"/>
          <w:b/>
          <w:color w:val="auto"/>
          <w:sz w:val="32"/>
          <w:szCs w:val="32"/>
          <w:highlight w:val="none"/>
        </w:rPr>
      </w:pPr>
      <w:r>
        <w:rPr>
          <w:rFonts w:hint="eastAsia" w:ascii="宋体" w:hAnsi="宋体" w:cs="宋体"/>
          <w:color w:val="auto"/>
          <w:highlight w:val="none"/>
        </w:rPr>
        <w:t>按第五章《跟踪审计委托协议》要求及相关规定</w:t>
      </w:r>
    </w:p>
    <w:p>
      <w:pPr>
        <w:pStyle w:val="6"/>
        <w:pageBreakBefore w:val="0"/>
        <w:kinsoku/>
        <w:wordWrap/>
        <w:overflowPunct/>
        <w:topLinePunct w:val="0"/>
        <w:autoSpaceDE/>
        <w:autoSpaceDN/>
        <w:bidi w:val="0"/>
        <w:spacing w:before="0" w:after="0" w:line="560" w:lineRule="exact"/>
        <w:textAlignment w:val="auto"/>
        <w:rPr>
          <w:rFonts w:ascii="宋体" w:hAnsi="宋体" w:eastAsia="宋体" w:cs="宋体"/>
          <w:color w:val="auto"/>
          <w:kern w:val="2"/>
          <w:sz w:val="28"/>
          <w:szCs w:val="28"/>
        </w:rPr>
      </w:pPr>
      <w:bookmarkStart w:id="95" w:name="_Toc25362"/>
      <w:r>
        <w:rPr>
          <w:rFonts w:hint="eastAsia" w:ascii="宋体" w:hAnsi="宋体" w:eastAsia="宋体" w:cs="宋体"/>
          <w:color w:val="auto"/>
          <w:kern w:val="2"/>
          <w:sz w:val="28"/>
          <w:szCs w:val="28"/>
        </w:rPr>
        <w:t>第</w:t>
      </w:r>
      <w:r>
        <w:rPr>
          <w:rFonts w:hint="eastAsia" w:ascii="宋体" w:hAnsi="宋体" w:eastAsia="宋体" w:cs="宋体"/>
          <w:color w:val="auto"/>
          <w:kern w:val="2"/>
          <w:sz w:val="28"/>
          <w:szCs w:val="28"/>
          <w:lang w:val="en-US" w:eastAsia="zh-CN"/>
        </w:rPr>
        <w:t>五</w:t>
      </w:r>
      <w:r>
        <w:rPr>
          <w:rFonts w:hint="eastAsia" w:ascii="宋体" w:hAnsi="宋体" w:eastAsia="宋体" w:cs="宋体"/>
          <w:color w:val="auto"/>
          <w:kern w:val="2"/>
          <w:sz w:val="28"/>
          <w:szCs w:val="28"/>
        </w:rPr>
        <w:t>章  合同条款</w:t>
      </w:r>
      <w:bookmarkEnd w:id="50"/>
      <w:bookmarkEnd w:id="51"/>
      <w:bookmarkEnd w:id="52"/>
      <w:bookmarkEnd w:id="95"/>
    </w:p>
    <w:p>
      <w:pPr>
        <w:pageBreakBefore w:val="0"/>
        <w:kinsoku/>
        <w:wordWrap/>
        <w:overflowPunct/>
        <w:topLinePunct w:val="0"/>
        <w:autoSpaceDE/>
        <w:autoSpaceDN/>
        <w:bidi w:val="0"/>
        <w:adjustRightInd w:val="0"/>
        <w:snapToGrid w:val="0"/>
        <w:spacing w:line="560" w:lineRule="exact"/>
        <w:jc w:val="left"/>
        <w:textAlignment w:val="auto"/>
        <w:rPr>
          <w:rFonts w:ascii="宋体" w:hAnsi="宋体" w:cs="宋体"/>
          <w:color w:val="auto"/>
          <w:kern w:val="0"/>
          <w:u w:val="single"/>
        </w:rPr>
      </w:pPr>
      <w:r>
        <w:rPr>
          <w:rFonts w:hint="eastAsia" w:ascii="宋体" w:hAnsi="宋体" w:cs="宋体"/>
          <w:color w:val="auto"/>
          <w:kern w:val="0"/>
        </w:rPr>
        <w:t>委托方（甲方）：</w:t>
      </w:r>
      <w:r>
        <w:rPr>
          <w:rFonts w:hint="eastAsia" w:ascii="宋体" w:hAnsi="宋体" w:cs="宋体"/>
          <w:color w:val="auto"/>
          <w:kern w:val="0"/>
          <w:u w:val="single"/>
        </w:rPr>
        <w:t xml:space="preserve">                 </w:t>
      </w:r>
    </w:p>
    <w:p>
      <w:pPr>
        <w:pageBreakBefore w:val="0"/>
        <w:kinsoku/>
        <w:wordWrap/>
        <w:overflowPunct/>
        <w:topLinePunct w:val="0"/>
        <w:autoSpaceDE/>
        <w:autoSpaceDN/>
        <w:bidi w:val="0"/>
        <w:adjustRightInd w:val="0"/>
        <w:snapToGrid w:val="0"/>
        <w:spacing w:line="560" w:lineRule="exact"/>
        <w:jc w:val="left"/>
        <w:textAlignment w:val="auto"/>
        <w:rPr>
          <w:rFonts w:ascii="宋体" w:hAnsi="宋体" w:cs="宋体"/>
          <w:color w:val="auto"/>
          <w:kern w:val="0"/>
          <w:u w:val="single"/>
        </w:rPr>
      </w:pPr>
      <w:r>
        <w:rPr>
          <w:rFonts w:hint="eastAsia" w:ascii="宋体" w:hAnsi="宋体" w:cs="宋体"/>
          <w:color w:val="auto"/>
          <w:kern w:val="0"/>
        </w:rPr>
        <w:t>受托方（乙方）：</w:t>
      </w:r>
      <w:r>
        <w:rPr>
          <w:rFonts w:hint="eastAsia" w:ascii="宋体" w:hAnsi="宋体" w:cs="宋体"/>
          <w:color w:val="auto"/>
          <w:kern w:val="0"/>
          <w:u w:val="single"/>
        </w:rPr>
        <w:t xml:space="preserve">                         </w:t>
      </w:r>
    </w:p>
    <w:p>
      <w:pPr>
        <w:pageBreakBefore w:val="0"/>
        <w:widowControl/>
        <w:kinsoku/>
        <w:wordWrap/>
        <w:overflowPunct/>
        <w:topLinePunct w:val="0"/>
        <w:autoSpaceDE/>
        <w:autoSpaceDN/>
        <w:bidi w:val="0"/>
        <w:spacing w:line="560" w:lineRule="exact"/>
        <w:ind w:firstLine="420" w:firstLineChars="200"/>
        <w:jc w:val="left"/>
        <w:textAlignment w:val="auto"/>
        <w:rPr>
          <w:rFonts w:ascii="宋体" w:hAnsi="宋体" w:cs="宋体"/>
          <w:color w:val="auto"/>
          <w:kern w:val="0"/>
        </w:rPr>
      </w:pPr>
    </w:p>
    <w:p>
      <w:pPr>
        <w:pageBreakBefore w:val="0"/>
        <w:widowControl/>
        <w:kinsoku/>
        <w:wordWrap/>
        <w:overflowPunct/>
        <w:topLinePunct w:val="0"/>
        <w:autoSpaceDE/>
        <w:autoSpaceDN/>
        <w:bidi w:val="0"/>
        <w:spacing w:line="560" w:lineRule="exact"/>
        <w:ind w:firstLine="420" w:firstLineChars="200"/>
        <w:jc w:val="left"/>
        <w:textAlignment w:val="auto"/>
        <w:rPr>
          <w:rFonts w:ascii="宋体" w:hAnsi="宋体" w:cs="宋体"/>
          <w:color w:val="auto"/>
          <w:kern w:val="0"/>
        </w:rPr>
      </w:pPr>
      <w:r>
        <w:rPr>
          <w:rFonts w:hint="eastAsia" w:ascii="宋体" w:hAnsi="宋体" w:cs="宋体"/>
          <w:color w:val="auto"/>
          <w:kern w:val="0"/>
        </w:rPr>
        <w:t>为保证</w:t>
      </w:r>
      <w:r>
        <w:rPr>
          <w:rFonts w:hint="eastAsia" w:ascii="宋体" w:hAnsi="宋体" w:cs="宋体"/>
          <w:color w:val="auto"/>
          <w:kern w:val="0"/>
          <w:u w:val="single"/>
        </w:rPr>
        <w:t xml:space="preserve">                      （项目名称）   </w:t>
      </w:r>
      <w:r>
        <w:rPr>
          <w:rFonts w:hint="eastAsia" w:ascii="宋体" w:hAnsi="宋体" w:cs="宋体"/>
          <w:color w:val="auto"/>
          <w:kern w:val="0"/>
        </w:rPr>
        <w:t>跟踪审计工作质量和效率，依据《中华人民共和国审计法》、《中华人民共和国民法典》等有关法律法规，甲、乙双方经协商一致，自愿签订本协议。</w:t>
      </w:r>
    </w:p>
    <w:p>
      <w:pPr>
        <w:pageBreakBefore w:val="0"/>
        <w:kinsoku/>
        <w:wordWrap/>
        <w:overflowPunct/>
        <w:topLinePunct w:val="0"/>
        <w:autoSpaceDE/>
        <w:autoSpaceDN/>
        <w:bidi w:val="0"/>
        <w:snapToGrid w:val="0"/>
        <w:spacing w:before="95" w:beforeLines="30" w:after="95" w:afterLines="30" w:line="560" w:lineRule="exact"/>
        <w:ind w:firstLine="472" w:firstLineChars="196"/>
        <w:jc w:val="left"/>
        <w:textAlignment w:val="auto"/>
        <w:rPr>
          <w:rFonts w:ascii="宋体" w:hAnsi="宋体" w:cs="宋体"/>
          <w:b/>
          <w:bCs/>
          <w:color w:val="auto"/>
          <w:sz w:val="24"/>
          <w:szCs w:val="24"/>
        </w:rPr>
      </w:pPr>
      <w:r>
        <w:rPr>
          <w:rFonts w:hint="eastAsia" w:ascii="宋体" w:hAnsi="宋体" w:cs="宋体"/>
          <w:b/>
          <w:bCs/>
          <w:color w:val="auto"/>
          <w:sz w:val="24"/>
          <w:szCs w:val="24"/>
        </w:rPr>
        <w:t>一、跟踪审计项目</w:t>
      </w:r>
    </w:p>
    <w:p>
      <w:pPr>
        <w:pageBreakBefore w:val="0"/>
        <w:kinsoku/>
        <w:wordWrap/>
        <w:overflowPunct/>
        <w:topLinePunct w:val="0"/>
        <w:autoSpaceDE/>
        <w:autoSpaceDN/>
        <w:bidi w:val="0"/>
        <w:snapToGrid w:val="0"/>
        <w:spacing w:line="560" w:lineRule="exact"/>
        <w:ind w:firstLine="570"/>
        <w:jc w:val="left"/>
        <w:textAlignment w:val="auto"/>
        <w:rPr>
          <w:rFonts w:ascii="宋体" w:hAnsi="宋体" w:cs="宋体"/>
          <w:color w:val="auto"/>
          <w:kern w:val="0"/>
        </w:rPr>
      </w:pPr>
      <w:r>
        <w:rPr>
          <w:rFonts w:hint="eastAsia" w:ascii="宋体" w:hAnsi="宋体" w:cs="宋体"/>
          <w:color w:val="auto"/>
          <w:kern w:val="0"/>
        </w:rPr>
        <w:t xml:space="preserve">1.项目名称： </w:t>
      </w:r>
      <w:r>
        <w:rPr>
          <w:rFonts w:hint="eastAsia" w:ascii="宋体" w:hAnsi="宋体" w:cs="宋体"/>
          <w:color w:val="auto"/>
          <w:kern w:val="0"/>
          <w:u w:val="single"/>
        </w:rPr>
        <w:t xml:space="preserve">                                </w:t>
      </w:r>
    </w:p>
    <w:p>
      <w:pPr>
        <w:pageBreakBefore w:val="0"/>
        <w:kinsoku/>
        <w:wordWrap/>
        <w:overflowPunct/>
        <w:topLinePunct w:val="0"/>
        <w:autoSpaceDE/>
        <w:autoSpaceDN/>
        <w:bidi w:val="0"/>
        <w:snapToGrid w:val="0"/>
        <w:spacing w:line="560" w:lineRule="exact"/>
        <w:ind w:firstLine="570"/>
        <w:jc w:val="left"/>
        <w:textAlignment w:val="auto"/>
        <w:rPr>
          <w:rFonts w:ascii="宋体" w:hAnsi="宋体" w:cs="宋体"/>
          <w:color w:val="auto"/>
          <w:kern w:val="0"/>
        </w:rPr>
      </w:pPr>
      <w:r>
        <w:rPr>
          <w:rFonts w:hint="eastAsia" w:ascii="宋体" w:hAnsi="宋体" w:cs="宋体"/>
          <w:color w:val="auto"/>
          <w:kern w:val="0"/>
        </w:rPr>
        <w:t xml:space="preserve">2.项目投资额： </w:t>
      </w:r>
      <w:r>
        <w:rPr>
          <w:rFonts w:hint="eastAsia" w:ascii="宋体" w:hAnsi="宋体" w:cs="宋体"/>
          <w:color w:val="auto"/>
          <w:kern w:val="0"/>
          <w:u w:val="single"/>
        </w:rPr>
        <w:t xml:space="preserve">                         </w:t>
      </w:r>
    </w:p>
    <w:p>
      <w:pPr>
        <w:pageBreakBefore w:val="0"/>
        <w:kinsoku/>
        <w:wordWrap/>
        <w:overflowPunct/>
        <w:topLinePunct w:val="0"/>
        <w:autoSpaceDE/>
        <w:autoSpaceDN/>
        <w:bidi w:val="0"/>
        <w:snapToGrid w:val="0"/>
        <w:spacing w:before="95" w:beforeLines="30" w:after="95" w:afterLines="30" w:line="560" w:lineRule="exact"/>
        <w:ind w:firstLine="472" w:firstLineChars="196"/>
        <w:jc w:val="left"/>
        <w:textAlignment w:val="auto"/>
        <w:rPr>
          <w:rFonts w:ascii="宋体" w:hAnsi="宋体" w:cs="宋体"/>
          <w:b/>
          <w:bCs/>
          <w:color w:val="auto"/>
          <w:sz w:val="24"/>
          <w:szCs w:val="24"/>
        </w:rPr>
      </w:pPr>
      <w:r>
        <w:rPr>
          <w:rFonts w:hint="eastAsia" w:ascii="宋体" w:hAnsi="宋体" w:cs="宋体"/>
          <w:b/>
          <w:bCs/>
          <w:color w:val="auto"/>
          <w:sz w:val="24"/>
          <w:szCs w:val="24"/>
        </w:rPr>
        <w:t>二、项目跟踪审计内容</w:t>
      </w:r>
    </w:p>
    <w:p>
      <w:pPr>
        <w:pageBreakBefore w:val="0"/>
        <w:kinsoku/>
        <w:wordWrap/>
        <w:overflowPunct/>
        <w:topLinePunct w:val="0"/>
        <w:autoSpaceDE/>
        <w:autoSpaceDN/>
        <w:bidi w:val="0"/>
        <w:snapToGrid w:val="0"/>
        <w:spacing w:line="560" w:lineRule="exact"/>
        <w:ind w:firstLine="420" w:firstLineChars="200"/>
        <w:jc w:val="left"/>
        <w:textAlignment w:val="auto"/>
        <w:rPr>
          <w:rFonts w:ascii="宋体" w:hAnsi="宋体" w:cs="宋体"/>
          <w:color w:val="auto"/>
        </w:rPr>
      </w:pPr>
      <w:r>
        <w:rPr>
          <w:rFonts w:hint="eastAsia" w:ascii="宋体" w:hAnsi="宋体" w:cs="宋体"/>
          <w:color w:val="auto"/>
        </w:rPr>
        <w:t xml:space="preserve">1.成立项目跟踪审计组，编制跟踪审计实施方案，确定投资控制目标、重点环节及应对措施； </w:t>
      </w:r>
    </w:p>
    <w:p>
      <w:pPr>
        <w:pageBreakBefore w:val="0"/>
        <w:kinsoku/>
        <w:wordWrap/>
        <w:overflowPunct/>
        <w:topLinePunct w:val="0"/>
        <w:autoSpaceDE/>
        <w:autoSpaceDN/>
        <w:bidi w:val="0"/>
        <w:snapToGrid w:val="0"/>
        <w:spacing w:line="560" w:lineRule="exact"/>
        <w:ind w:firstLine="420" w:firstLineChars="200"/>
        <w:jc w:val="left"/>
        <w:textAlignment w:val="auto"/>
        <w:rPr>
          <w:rFonts w:ascii="宋体" w:hAnsi="宋体" w:cs="宋体"/>
          <w:color w:val="auto"/>
        </w:rPr>
      </w:pPr>
      <w:r>
        <w:rPr>
          <w:rFonts w:hint="eastAsia" w:ascii="宋体" w:hAnsi="宋体" w:cs="宋体"/>
          <w:color w:val="auto"/>
        </w:rPr>
        <w:t>2.审核项目前期资料（图纸、工程量清单及控制价、招标响应文件、施工合同等），向甲方提交审核结果；</w:t>
      </w:r>
    </w:p>
    <w:p>
      <w:pPr>
        <w:pageBreakBefore w:val="0"/>
        <w:kinsoku/>
        <w:wordWrap/>
        <w:overflowPunct/>
        <w:topLinePunct w:val="0"/>
        <w:autoSpaceDE/>
        <w:autoSpaceDN/>
        <w:bidi w:val="0"/>
        <w:snapToGrid w:val="0"/>
        <w:spacing w:line="560" w:lineRule="exact"/>
        <w:ind w:firstLine="420" w:firstLineChars="200"/>
        <w:jc w:val="left"/>
        <w:textAlignment w:val="auto"/>
        <w:rPr>
          <w:rFonts w:ascii="宋体" w:hAnsi="宋体" w:cs="宋体"/>
          <w:color w:val="auto"/>
        </w:rPr>
      </w:pPr>
      <w:r>
        <w:rPr>
          <w:rFonts w:hint="eastAsia" w:ascii="宋体" w:hAnsi="宋体" w:cs="宋体"/>
          <w:color w:val="auto"/>
        </w:rPr>
        <w:t>3.对承包方上报的请款期已完成合格工程量的计量、计价进行审核，并提供按工程形象进度付款的意见、建议。</w:t>
      </w:r>
    </w:p>
    <w:p>
      <w:pPr>
        <w:pageBreakBefore w:val="0"/>
        <w:kinsoku/>
        <w:wordWrap/>
        <w:overflowPunct/>
        <w:topLinePunct w:val="0"/>
        <w:autoSpaceDE/>
        <w:autoSpaceDN/>
        <w:bidi w:val="0"/>
        <w:snapToGrid w:val="0"/>
        <w:spacing w:line="560" w:lineRule="exact"/>
        <w:ind w:firstLine="420" w:firstLineChars="200"/>
        <w:jc w:val="left"/>
        <w:textAlignment w:val="auto"/>
        <w:rPr>
          <w:rFonts w:ascii="宋体" w:hAnsi="宋体" w:cs="宋体"/>
          <w:color w:val="auto"/>
        </w:rPr>
      </w:pPr>
      <w:r>
        <w:rPr>
          <w:rFonts w:hint="eastAsia" w:ascii="宋体" w:hAnsi="宋体" w:cs="宋体"/>
          <w:color w:val="auto"/>
        </w:rPr>
        <w:t>4.及时核定分阶段完工的项目分部、分项工程价款结算，项目竣工后，及时提交完整的竣工结算审核报告；</w:t>
      </w:r>
    </w:p>
    <w:p>
      <w:pPr>
        <w:pageBreakBefore w:val="0"/>
        <w:kinsoku/>
        <w:wordWrap/>
        <w:overflowPunct/>
        <w:topLinePunct w:val="0"/>
        <w:autoSpaceDE/>
        <w:autoSpaceDN/>
        <w:bidi w:val="0"/>
        <w:snapToGrid w:val="0"/>
        <w:spacing w:line="560" w:lineRule="exact"/>
        <w:ind w:firstLine="420" w:firstLineChars="200"/>
        <w:jc w:val="left"/>
        <w:textAlignment w:val="auto"/>
        <w:rPr>
          <w:rFonts w:ascii="宋体" w:hAnsi="宋体" w:cs="宋体"/>
          <w:color w:val="auto"/>
        </w:rPr>
      </w:pPr>
      <w:r>
        <w:rPr>
          <w:rFonts w:hint="eastAsia" w:ascii="宋体" w:hAnsi="宋体" w:cs="宋体"/>
          <w:color w:val="auto"/>
        </w:rPr>
        <w:t>5.协助甲方及时审核设计变更、经济签证等发生的费用，超过一定限额的，提请甲方履行报批程序；</w:t>
      </w:r>
    </w:p>
    <w:p>
      <w:pPr>
        <w:pageBreakBefore w:val="0"/>
        <w:kinsoku/>
        <w:wordWrap/>
        <w:overflowPunct/>
        <w:topLinePunct w:val="0"/>
        <w:autoSpaceDE/>
        <w:autoSpaceDN/>
        <w:bidi w:val="0"/>
        <w:snapToGrid w:val="0"/>
        <w:spacing w:line="560" w:lineRule="exact"/>
        <w:ind w:firstLine="420" w:firstLineChars="200"/>
        <w:jc w:val="left"/>
        <w:textAlignment w:val="auto"/>
        <w:rPr>
          <w:rFonts w:ascii="宋体" w:hAnsi="宋体" w:cs="宋体"/>
          <w:color w:val="auto"/>
        </w:rPr>
      </w:pPr>
      <w:r>
        <w:rPr>
          <w:rFonts w:hint="eastAsia" w:ascii="宋体" w:hAnsi="宋体" w:cs="宋体"/>
          <w:color w:val="auto"/>
        </w:rPr>
        <w:t>6.项目承、发包方发生工程价款结算争议时，为甲方提供咨询意见；</w:t>
      </w:r>
    </w:p>
    <w:p>
      <w:pPr>
        <w:pageBreakBefore w:val="0"/>
        <w:kinsoku/>
        <w:wordWrap/>
        <w:overflowPunct/>
        <w:topLinePunct w:val="0"/>
        <w:autoSpaceDE/>
        <w:autoSpaceDN/>
        <w:bidi w:val="0"/>
        <w:snapToGrid w:val="0"/>
        <w:spacing w:line="560" w:lineRule="exact"/>
        <w:ind w:firstLine="420" w:firstLineChars="200"/>
        <w:jc w:val="left"/>
        <w:textAlignment w:val="auto"/>
        <w:rPr>
          <w:rFonts w:ascii="宋体" w:hAnsi="宋体" w:cs="宋体"/>
          <w:color w:val="auto"/>
        </w:rPr>
      </w:pPr>
      <w:r>
        <w:rPr>
          <w:rFonts w:hint="eastAsia" w:ascii="宋体" w:hAnsi="宋体" w:cs="宋体"/>
          <w:color w:val="auto"/>
        </w:rPr>
        <w:t xml:space="preserve">7.参与项目建设管理的有关会议，对项目投资控制的有关事项发表独立审计意见； </w:t>
      </w:r>
    </w:p>
    <w:p>
      <w:pPr>
        <w:pageBreakBefore w:val="0"/>
        <w:kinsoku/>
        <w:wordWrap/>
        <w:overflowPunct/>
        <w:topLinePunct w:val="0"/>
        <w:autoSpaceDE/>
        <w:autoSpaceDN/>
        <w:bidi w:val="0"/>
        <w:snapToGrid w:val="0"/>
        <w:spacing w:line="560" w:lineRule="exact"/>
        <w:ind w:firstLine="420" w:firstLineChars="200"/>
        <w:jc w:val="left"/>
        <w:textAlignment w:val="auto"/>
        <w:rPr>
          <w:rFonts w:ascii="宋体" w:hAnsi="宋体" w:cs="宋体"/>
          <w:color w:val="auto"/>
        </w:rPr>
      </w:pPr>
      <w:r>
        <w:rPr>
          <w:rFonts w:hint="eastAsia" w:ascii="宋体" w:hAnsi="宋体" w:cs="宋体"/>
          <w:color w:val="auto"/>
        </w:rPr>
        <w:t>8.其他与项目投资控制相关的工作。</w:t>
      </w:r>
    </w:p>
    <w:p>
      <w:pPr>
        <w:pageBreakBefore w:val="0"/>
        <w:kinsoku/>
        <w:wordWrap/>
        <w:overflowPunct/>
        <w:topLinePunct w:val="0"/>
        <w:autoSpaceDE/>
        <w:autoSpaceDN/>
        <w:bidi w:val="0"/>
        <w:snapToGrid w:val="0"/>
        <w:spacing w:before="95" w:beforeLines="30" w:after="95" w:afterLines="30" w:line="560" w:lineRule="exact"/>
        <w:ind w:firstLine="472" w:firstLineChars="196"/>
        <w:jc w:val="left"/>
        <w:textAlignment w:val="auto"/>
        <w:rPr>
          <w:rFonts w:ascii="宋体" w:hAnsi="宋体" w:cs="宋体"/>
          <w:b/>
          <w:bCs/>
          <w:color w:val="auto"/>
          <w:sz w:val="24"/>
          <w:szCs w:val="24"/>
        </w:rPr>
      </w:pPr>
      <w:r>
        <w:rPr>
          <w:rFonts w:hint="eastAsia" w:ascii="宋体" w:hAnsi="宋体" w:cs="宋体"/>
          <w:b/>
          <w:bCs/>
          <w:color w:val="auto"/>
          <w:sz w:val="24"/>
          <w:szCs w:val="24"/>
        </w:rPr>
        <w:t>三、项目跟踪审计制度及相关要求</w:t>
      </w:r>
    </w:p>
    <w:p>
      <w:pPr>
        <w:pageBreakBefore w:val="0"/>
        <w:kinsoku/>
        <w:wordWrap/>
        <w:overflowPunct/>
        <w:topLinePunct w:val="0"/>
        <w:autoSpaceDE/>
        <w:autoSpaceDN/>
        <w:bidi w:val="0"/>
        <w:snapToGrid w:val="0"/>
        <w:spacing w:line="560" w:lineRule="exact"/>
        <w:ind w:firstLine="420" w:firstLineChars="200"/>
        <w:jc w:val="left"/>
        <w:textAlignment w:val="auto"/>
        <w:rPr>
          <w:rFonts w:ascii="宋体" w:hAnsi="宋体" w:cs="宋体"/>
          <w:color w:val="auto"/>
        </w:rPr>
      </w:pPr>
      <w:r>
        <w:rPr>
          <w:rFonts w:hint="eastAsia" w:ascii="宋体" w:hAnsi="宋体" w:cs="宋体"/>
          <w:color w:val="auto"/>
        </w:rPr>
        <w:t>1.滁州市政府投资项目审计“八不准制度”；</w:t>
      </w:r>
    </w:p>
    <w:p>
      <w:pPr>
        <w:pageBreakBefore w:val="0"/>
        <w:kinsoku/>
        <w:wordWrap/>
        <w:overflowPunct/>
        <w:topLinePunct w:val="0"/>
        <w:autoSpaceDE/>
        <w:autoSpaceDN/>
        <w:bidi w:val="0"/>
        <w:snapToGrid w:val="0"/>
        <w:spacing w:line="560" w:lineRule="exact"/>
        <w:ind w:firstLine="420" w:firstLineChars="200"/>
        <w:jc w:val="left"/>
        <w:textAlignment w:val="auto"/>
        <w:rPr>
          <w:rFonts w:ascii="宋体" w:hAnsi="宋体" w:cs="宋体"/>
          <w:color w:val="auto"/>
        </w:rPr>
      </w:pPr>
      <w:r>
        <w:rPr>
          <w:rFonts w:hint="eastAsia" w:ascii="宋体" w:hAnsi="宋体" w:cs="宋体"/>
          <w:color w:val="auto"/>
        </w:rPr>
        <w:t>2.滁州市政府投资项目竣工结算审计结果备案制度；</w:t>
      </w:r>
    </w:p>
    <w:p>
      <w:pPr>
        <w:pageBreakBefore w:val="0"/>
        <w:kinsoku/>
        <w:wordWrap/>
        <w:overflowPunct/>
        <w:topLinePunct w:val="0"/>
        <w:autoSpaceDE/>
        <w:autoSpaceDN/>
        <w:bidi w:val="0"/>
        <w:snapToGrid w:val="0"/>
        <w:spacing w:line="560" w:lineRule="exact"/>
        <w:ind w:firstLine="420" w:firstLineChars="200"/>
        <w:jc w:val="left"/>
        <w:textAlignment w:val="auto"/>
        <w:rPr>
          <w:rFonts w:ascii="宋体" w:hAnsi="宋体" w:cs="宋体"/>
          <w:color w:val="auto"/>
        </w:rPr>
      </w:pPr>
      <w:r>
        <w:rPr>
          <w:rFonts w:hint="eastAsia" w:ascii="宋体" w:hAnsi="宋体" w:cs="宋体"/>
          <w:color w:val="auto"/>
        </w:rPr>
        <w:t>3.滁州市建设项目施工阶段全过程造价控制管理暂行办法；</w:t>
      </w:r>
    </w:p>
    <w:p>
      <w:pPr>
        <w:pageBreakBefore w:val="0"/>
        <w:kinsoku/>
        <w:wordWrap/>
        <w:overflowPunct/>
        <w:topLinePunct w:val="0"/>
        <w:autoSpaceDE/>
        <w:autoSpaceDN/>
        <w:bidi w:val="0"/>
        <w:snapToGrid w:val="0"/>
        <w:spacing w:line="560" w:lineRule="exact"/>
        <w:ind w:firstLine="420" w:firstLineChars="200"/>
        <w:jc w:val="left"/>
        <w:textAlignment w:val="auto"/>
        <w:rPr>
          <w:rFonts w:ascii="宋体" w:hAnsi="宋体" w:cs="宋体"/>
          <w:color w:val="auto"/>
        </w:rPr>
      </w:pPr>
      <w:r>
        <w:rPr>
          <w:rFonts w:hint="eastAsia" w:ascii="宋体" w:hAnsi="宋体" w:cs="宋体"/>
          <w:color w:val="auto"/>
        </w:rPr>
        <w:t>4.实行定期、分段报告制度。乙方应及时提交项目前期资料审核结果、竣工结算审核报告；</w:t>
      </w:r>
    </w:p>
    <w:p>
      <w:pPr>
        <w:pageBreakBefore w:val="0"/>
        <w:kinsoku/>
        <w:wordWrap/>
        <w:overflowPunct/>
        <w:topLinePunct w:val="0"/>
        <w:autoSpaceDE/>
        <w:autoSpaceDN/>
        <w:bidi w:val="0"/>
        <w:snapToGrid w:val="0"/>
        <w:spacing w:line="560" w:lineRule="exact"/>
        <w:ind w:firstLine="420" w:firstLineChars="200"/>
        <w:jc w:val="left"/>
        <w:textAlignment w:val="auto"/>
        <w:rPr>
          <w:rFonts w:ascii="宋体" w:hAnsi="宋体" w:cs="宋体"/>
          <w:color w:val="auto"/>
        </w:rPr>
      </w:pPr>
      <w:r>
        <w:rPr>
          <w:rFonts w:hint="eastAsia" w:ascii="宋体" w:hAnsi="宋体" w:cs="宋体"/>
          <w:color w:val="auto"/>
        </w:rPr>
        <w:t>5.加强对项目变更事项的合理性、经济性审核。对涉及工程造价的重大事项（如工程造价10万元以上的变更事项和设备、材料询价采购等）须及时书面报告甲方；</w:t>
      </w:r>
    </w:p>
    <w:p>
      <w:pPr>
        <w:pageBreakBefore w:val="0"/>
        <w:kinsoku/>
        <w:wordWrap/>
        <w:overflowPunct/>
        <w:topLinePunct w:val="0"/>
        <w:autoSpaceDE/>
        <w:autoSpaceDN/>
        <w:bidi w:val="0"/>
        <w:snapToGrid w:val="0"/>
        <w:spacing w:line="560" w:lineRule="exact"/>
        <w:ind w:firstLine="420" w:firstLineChars="200"/>
        <w:jc w:val="left"/>
        <w:textAlignment w:val="auto"/>
        <w:rPr>
          <w:rFonts w:ascii="宋体" w:hAnsi="宋体" w:cs="宋体"/>
          <w:color w:val="auto"/>
        </w:rPr>
      </w:pPr>
      <w:r>
        <w:rPr>
          <w:rFonts w:hint="eastAsia" w:ascii="宋体" w:hAnsi="宋体" w:cs="宋体"/>
          <w:color w:val="auto"/>
        </w:rPr>
        <w:t>6.协助甲方完成项目投资控制的各项工作，接受甲方的项目现场管理。</w:t>
      </w:r>
    </w:p>
    <w:p>
      <w:pPr>
        <w:pageBreakBefore w:val="0"/>
        <w:kinsoku/>
        <w:wordWrap/>
        <w:overflowPunct/>
        <w:topLinePunct w:val="0"/>
        <w:autoSpaceDE/>
        <w:autoSpaceDN/>
        <w:bidi w:val="0"/>
        <w:snapToGrid w:val="0"/>
        <w:spacing w:before="95" w:beforeLines="30" w:after="95" w:afterLines="30" w:line="560" w:lineRule="exact"/>
        <w:ind w:firstLine="472" w:firstLineChars="196"/>
        <w:jc w:val="left"/>
        <w:textAlignment w:val="auto"/>
        <w:rPr>
          <w:rFonts w:ascii="宋体" w:hAnsi="宋体" w:cs="宋体"/>
          <w:b/>
          <w:bCs/>
          <w:color w:val="auto"/>
          <w:sz w:val="24"/>
          <w:szCs w:val="24"/>
        </w:rPr>
      </w:pPr>
      <w:r>
        <w:rPr>
          <w:rFonts w:hint="eastAsia" w:ascii="宋体" w:hAnsi="宋体" w:cs="宋体"/>
          <w:b/>
          <w:bCs/>
          <w:color w:val="auto"/>
          <w:sz w:val="24"/>
          <w:szCs w:val="24"/>
        </w:rPr>
        <w:t>四、项目跟踪审计组及人员配备要求</w:t>
      </w:r>
    </w:p>
    <w:p>
      <w:pPr>
        <w:pageBreakBefore w:val="0"/>
        <w:kinsoku/>
        <w:wordWrap/>
        <w:overflowPunct/>
        <w:topLinePunct w:val="0"/>
        <w:autoSpaceDE/>
        <w:autoSpaceDN/>
        <w:bidi w:val="0"/>
        <w:snapToGrid w:val="0"/>
        <w:spacing w:line="560" w:lineRule="exact"/>
        <w:ind w:firstLine="420" w:firstLineChars="200"/>
        <w:jc w:val="left"/>
        <w:textAlignment w:val="auto"/>
        <w:rPr>
          <w:rFonts w:ascii="宋体" w:hAnsi="宋体" w:cs="宋体"/>
          <w:color w:val="auto"/>
        </w:rPr>
      </w:pPr>
      <w:r>
        <w:rPr>
          <w:rFonts w:hint="eastAsia" w:ascii="宋体" w:hAnsi="宋体" w:cs="宋体"/>
          <w:color w:val="auto"/>
        </w:rPr>
        <w:t>1.乙方须成立项目跟踪审计组，配备相应数量具有相关专业执业资质的审计人员（满足文件要求）。本项目审计组负责人为</w:t>
      </w:r>
      <w:r>
        <w:rPr>
          <w:rFonts w:hint="eastAsia" w:ascii="宋体" w:hAnsi="宋体" w:cs="宋体"/>
          <w:color w:val="auto"/>
          <w:u w:val="single"/>
        </w:rPr>
        <w:t>姓名、一级注册造价工程证书号、联系电话</w:t>
      </w:r>
      <w:r>
        <w:rPr>
          <w:rFonts w:hint="eastAsia" w:ascii="宋体" w:hAnsi="宋体" w:cs="宋体"/>
          <w:color w:val="auto"/>
        </w:rPr>
        <w:t>，成员为</w:t>
      </w:r>
      <w:r>
        <w:rPr>
          <w:rFonts w:hint="eastAsia" w:ascii="宋体" w:hAnsi="宋体" w:cs="宋体"/>
          <w:color w:val="auto"/>
          <w:u w:val="single"/>
        </w:rPr>
        <w:t>姓名、一级注册造价工程证师或二级注册造价工程师或造价员证书号、联系电话</w:t>
      </w:r>
      <w:r>
        <w:rPr>
          <w:rFonts w:hint="eastAsia" w:ascii="宋体" w:hAnsi="宋体" w:cs="宋体"/>
          <w:color w:val="auto"/>
        </w:rPr>
        <w:t>；</w:t>
      </w:r>
    </w:p>
    <w:p>
      <w:pPr>
        <w:pageBreakBefore w:val="0"/>
        <w:kinsoku/>
        <w:wordWrap/>
        <w:overflowPunct/>
        <w:topLinePunct w:val="0"/>
        <w:autoSpaceDE/>
        <w:autoSpaceDN/>
        <w:bidi w:val="0"/>
        <w:snapToGrid w:val="0"/>
        <w:spacing w:line="560" w:lineRule="exact"/>
        <w:ind w:firstLine="420" w:firstLineChars="200"/>
        <w:jc w:val="left"/>
        <w:textAlignment w:val="auto"/>
        <w:rPr>
          <w:rFonts w:ascii="宋体" w:hAnsi="宋体" w:cs="宋体"/>
          <w:color w:val="auto"/>
        </w:rPr>
      </w:pPr>
      <w:r>
        <w:rPr>
          <w:rFonts w:hint="eastAsia" w:ascii="宋体" w:hAnsi="宋体" w:cs="宋体"/>
          <w:color w:val="auto"/>
        </w:rPr>
        <w:t>2.项目审计人员须服从甲方的工作安排，未经甲方许可，乙方不得随意更换、调整审计组人员。</w:t>
      </w:r>
    </w:p>
    <w:p>
      <w:pPr>
        <w:pageBreakBefore w:val="0"/>
        <w:kinsoku/>
        <w:wordWrap/>
        <w:overflowPunct/>
        <w:topLinePunct w:val="0"/>
        <w:autoSpaceDE/>
        <w:autoSpaceDN/>
        <w:bidi w:val="0"/>
        <w:snapToGrid w:val="0"/>
        <w:spacing w:before="95" w:beforeLines="30" w:after="95" w:afterLines="30" w:line="560" w:lineRule="exact"/>
        <w:ind w:firstLine="472" w:firstLineChars="196"/>
        <w:jc w:val="left"/>
        <w:textAlignment w:val="auto"/>
        <w:rPr>
          <w:rFonts w:ascii="宋体" w:hAnsi="宋体" w:cs="宋体"/>
          <w:b/>
          <w:bCs/>
          <w:color w:val="auto"/>
          <w:sz w:val="24"/>
          <w:szCs w:val="24"/>
        </w:rPr>
      </w:pPr>
      <w:r>
        <w:rPr>
          <w:rFonts w:hint="eastAsia" w:ascii="宋体" w:hAnsi="宋体" w:cs="宋体"/>
          <w:b/>
          <w:bCs/>
          <w:color w:val="auto"/>
          <w:sz w:val="24"/>
          <w:szCs w:val="24"/>
        </w:rPr>
        <w:t>五、项目跟踪审计质量要求</w:t>
      </w:r>
    </w:p>
    <w:p>
      <w:pPr>
        <w:pageBreakBefore w:val="0"/>
        <w:kinsoku/>
        <w:wordWrap/>
        <w:overflowPunct/>
        <w:topLinePunct w:val="0"/>
        <w:autoSpaceDE/>
        <w:autoSpaceDN/>
        <w:bidi w:val="0"/>
        <w:snapToGrid w:val="0"/>
        <w:spacing w:line="560" w:lineRule="exact"/>
        <w:ind w:firstLine="420" w:firstLineChars="200"/>
        <w:jc w:val="left"/>
        <w:textAlignment w:val="auto"/>
        <w:rPr>
          <w:rFonts w:ascii="宋体" w:hAnsi="宋体" w:cs="宋体"/>
          <w:color w:val="auto"/>
        </w:rPr>
      </w:pPr>
      <w:r>
        <w:rPr>
          <w:rFonts w:hint="eastAsia" w:ascii="宋体" w:hAnsi="宋体" w:cs="宋体"/>
          <w:color w:val="auto"/>
        </w:rPr>
        <w:t>1.甲方对乙方出具的项目竣工结算审核报告进行复审或抽查，审查结果误差按以下办法处理：（1）审查结果误差率在2%以内（含），可按照委托协议约定收取审计服务费用；（2）审查结果误差在2%-3%（含）之间，审计服务费用扣除15%；（3）审查结果误差在3%-4%（含）之间，审计服务费用扣除30%；（4）审查结果误差超过4%, 全额扣除审计服务费用；</w:t>
      </w:r>
    </w:p>
    <w:p>
      <w:pPr>
        <w:pageBreakBefore w:val="0"/>
        <w:kinsoku/>
        <w:wordWrap/>
        <w:overflowPunct/>
        <w:topLinePunct w:val="0"/>
        <w:autoSpaceDE/>
        <w:autoSpaceDN/>
        <w:bidi w:val="0"/>
        <w:snapToGrid w:val="0"/>
        <w:spacing w:line="560" w:lineRule="exact"/>
        <w:ind w:firstLine="420" w:firstLineChars="200"/>
        <w:jc w:val="left"/>
        <w:textAlignment w:val="auto"/>
        <w:rPr>
          <w:rFonts w:ascii="宋体" w:hAnsi="宋体" w:cs="宋体"/>
          <w:color w:val="auto"/>
        </w:rPr>
      </w:pPr>
      <w:r>
        <w:rPr>
          <w:rFonts w:hint="eastAsia" w:ascii="宋体" w:hAnsi="宋体" w:cs="宋体"/>
          <w:color w:val="auto"/>
        </w:rPr>
        <w:t>2.若乙方出现无证人员执业、挂靠执业、执业人员不到岗等违反国家、省、市相关工程造价管理文件规定，被建设行政主管部门记两次不良行为记录或列入黑名单的，甲方将终止委托审计业务；</w:t>
      </w:r>
    </w:p>
    <w:p>
      <w:pPr>
        <w:pageBreakBefore w:val="0"/>
        <w:kinsoku/>
        <w:wordWrap/>
        <w:overflowPunct/>
        <w:topLinePunct w:val="0"/>
        <w:autoSpaceDE/>
        <w:autoSpaceDN/>
        <w:bidi w:val="0"/>
        <w:snapToGrid w:val="0"/>
        <w:spacing w:line="560" w:lineRule="exact"/>
        <w:ind w:firstLine="420" w:firstLineChars="200"/>
        <w:jc w:val="left"/>
        <w:textAlignment w:val="auto"/>
        <w:rPr>
          <w:rFonts w:ascii="宋体" w:hAnsi="宋体" w:cs="宋体"/>
          <w:color w:val="auto"/>
        </w:rPr>
      </w:pPr>
      <w:r>
        <w:rPr>
          <w:rFonts w:hint="eastAsia" w:ascii="宋体" w:hAnsi="宋体" w:cs="宋体"/>
          <w:color w:val="auto"/>
        </w:rPr>
        <w:t>3.若乙方出现因违背行业准则和规范的行为被司法、纪检、检察、公安、建设行政主管部门等查处的，甲方将终止委托审计业务。</w:t>
      </w:r>
    </w:p>
    <w:p>
      <w:pPr>
        <w:pageBreakBefore w:val="0"/>
        <w:kinsoku/>
        <w:wordWrap/>
        <w:overflowPunct/>
        <w:topLinePunct w:val="0"/>
        <w:autoSpaceDE/>
        <w:autoSpaceDN/>
        <w:bidi w:val="0"/>
        <w:snapToGrid w:val="0"/>
        <w:spacing w:before="95" w:beforeLines="30" w:after="95" w:afterLines="30" w:line="560" w:lineRule="exact"/>
        <w:ind w:firstLine="472" w:firstLineChars="196"/>
        <w:jc w:val="left"/>
        <w:textAlignment w:val="auto"/>
        <w:rPr>
          <w:rFonts w:ascii="宋体" w:hAnsi="宋体" w:cs="宋体"/>
          <w:b/>
          <w:bCs/>
          <w:color w:val="auto"/>
          <w:sz w:val="24"/>
          <w:szCs w:val="24"/>
        </w:rPr>
      </w:pPr>
      <w:r>
        <w:rPr>
          <w:rFonts w:hint="eastAsia" w:ascii="宋体" w:hAnsi="宋体" w:cs="宋体"/>
          <w:b/>
          <w:bCs/>
          <w:color w:val="auto"/>
          <w:sz w:val="24"/>
          <w:szCs w:val="24"/>
        </w:rPr>
        <w:t>六、项目跟踪审计服务费用标准及结算方式</w:t>
      </w:r>
    </w:p>
    <w:p>
      <w:pPr>
        <w:pageBreakBefore w:val="0"/>
        <w:kinsoku/>
        <w:wordWrap/>
        <w:overflowPunct/>
        <w:topLinePunct w:val="0"/>
        <w:autoSpaceDE/>
        <w:autoSpaceDN/>
        <w:bidi w:val="0"/>
        <w:snapToGrid w:val="0"/>
        <w:spacing w:line="560" w:lineRule="exact"/>
        <w:ind w:firstLine="420" w:firstLineChars="200"/>
        <w:jc w:val="left"/>
        <w:textAlignment w:val="auto"/>
        <w:rPr>
          <w:rFonts w:ascii="宋体" w:hAnsi="宋体" w:cs="宋体"/>
          <w:color w:val="auto"/>
        </w:rPr>
      </w:pPr>
      <w:r>
        <w:rPr>
          <w:rFonts w:hint="eastAsia" w:ascii="宋体" w:hAnsi="宋体" w:cs="宋体"/>
          <w:color w:val="auto"/>
        </w:rPr>
        <w:t>1.项目跟踪审计服务费用标准</w:t>
      </w:r>
    </w:p>
    <w:p>
      <w:pPr>
        <w:pageBreakBefore w:val="0"/>
        <w:kinsoku/>
        <w:wordWrap/>
        <w:overflowPunct/>
        <w:topLinePunct w:val="0"/>
        <w:autoSpaceDE/>
        <w:autoSpaceDN/>
        <w:bidi w:val="0"/>
        <w:snapToGrid w:val="0"/>
        <w:spacing w:line="560" w:lineRule="exact"/>
        <w:ind w:firstLine="555"/>
        <w:jc w:val="left"/>
        <w:textAlignment w:val="auto"/>
        <w:rPr>
          <w:rFonts w:ascii="宋体" w:hAnsi="宋体" w:cs="宋体"/>
          <w:color w:val="auto"/>
        </w:rPr>
      </w:pPr>
      <w:r>
        <w:rPr>
          <w:rFonts w:hint="eastAsia" w:ascii="宋体" w:hAnsi="宋体" w:cs="宋体"/>
          <w:color w:val="auto"/>
        </w:rPr>
        <w:t>本项目基本费为</w:t>
      </w:r>
      <w:r>
        <w:rPr>
          <w:rFonts w:hint="eastAsia" w:ascii="宋体" w:hAnsi="宋体" w:cs="宋体"/>
          <w:color w:val="auto"/>
          <w:u w:val="single"/>
        </w:rPr>
        <w:t xml:space="preserve">            </w:t>
      </w:r>
      <w:r>
        <w:rPr>
          <w:rFonts w:hint="eastAsia" w:ascii="宋体" w:hAnsi="宋体" w:cs="宋体"/>
          <w:color w:val="auto"/>
        </w:rPr>
        <w:t xml:space="preserve"> ，审核成果费率为：</w:t>
      </w:r>
      <w:r>
        <w:rPr>
          <w:rFonts w:hint="eastAsia" w:ascii="宋体" w:hAnsi="宋体" w:cs="宋体"/>
          <w:color w:val="auto"/>
          <w:u w:val="single"/>
        </w:rPr>
        <w:t xml:space="preserve"> 1.5  </w:t>
      </w:r>
      <w:r>
        <w:rPr>
          <w:rFonts w:hint="eastAsia" w:ascii="宋体" w:hAnsi="宋体" w:cs="宋体"/>
          <w:color w:val="auto"/>
        </w:rPr>
        <w:t>％</w:t>
      </w:r>
      <w:r>
        <w:rPr>
          <w:rFonts w:hint="eastAsia" w:ascii="宋体" w:hAnsi="宋体" w:cs="宋体"/>
          <w:color w:val="auto"/>
          <w:sz w:val="24"/>
          <w:szCs w:val="24"/>
        </w:rPr>
        <w:t>（审核成果费率固定不变，由施工单位支付）</w:t>
      </w:r>
    </w:p>
    <w:p>
      <w:pPr>
        <w:pageBreakBefore w:val="0"/>
        <w:kinsoku/>
        <w:wordWrap/>
        <w:overflowPunct/>
        <w:topLinePunct w:val="0"/>
        <w:autoSpaceDE/>
        <w:autoSpaceDN/>
        <w:bidi w:val="0"/>
        <w:snapToGrid w:val="0"/>
        <w:spacing w:line="560" w:lineRule="exact"/>
        <w:ind w:firstLine="555"/>
        <w:jc w:val="left"/>
        <w:textAlignment w:val="auto"/>
        <w:rPr>
          <w:rFonts w:ascii="宋体" w:hAnsi="宋体" w:cs="宋体"/>
          <w:color w:val="auto"/>
        </w:rPr>
      </w:pPr>
      <w:r>
        <w:rPr>
          <w:rFonts w:hint="eastAsia" w:ascii="宋体" w:hAnsi="宋体" w:cs="宋体"/>
          <w:color w:val="auto"/>
        </w:rPr>
        <w:t>说明：（1）跟踪审计费用计算方式为：基本费用+审核成果费用;</w:t>
      </w:r>
    </w:p>
    <w:p>
      <w:pPr>
        <w:pageBreakBefore w:val="0"/>
        <w:kinsoku/>
        <w:wordWrap/>
        <w:overflowPunct/>
        <w:topLinePunct w:val="0"/>
        <w:autoSpaceDE/>
        <w:autoSpaceDN/>
        <w:bidi w:val="0"/>
        <w:snapToGrid w:val="0"/>
        <w:spacing w:line="560" w:lineRule="exact"/>
        <w:ind w:firstLine="555"/>
        <w:jc w:val="left"/>
        <w:textAlignment w:val="auto"/>
        <w:rPr>
          <w:rFonts w:ascii="宋体" w:hAnsi="宋体" w:cs="宋体"/>
          <w:color w:val="auto"/>
        </w:rPr>
      </w:pPr>
      <w:r>
        <w:rPr>
          <w:rFonts w:hint="eastAsia" w:ascii="宋体" w:hAnsi="宋体" w:cs="宋体"/>
          <w:color w:val="auto"/>
        </w:rPr>
        <w:t>2.项目跟踪审计费用结算方式</w:t>
      </w:r>
    </w:p>
    <w:p>
      <w:pPr>
        <w:pageBreakBefore w:val="0"/>
        <w:kinsoku/>
        <w:wordWrap/>
        <w:overflowPunct/>
        <w:topLinePunct w:val="0"/>
        <w:autoSpaceDE/>
        <w:autoSpaceDN/>
        <w:bidi w:val="0"/>
        <w:snapToGrid w:val="0"/>
        <w:spacing w:line="560" w:lineRule="exact"/>
        <w:ind w:firstLine="420" w:firstLineChars="200"/>
        <w:jc w:val="left"/>
        <w:textAlignment w:val="auto"/>
        <w:rPr>
          <w:rFonts w:hint="eastAsia" w:ascii="宋体" w:hAnsi="宋体" w:cs="宋体"/>
          <w:color w:val="auto"/>
        </w:rPr>
      </w:pPr>
      <w:r>
        <w:rPr>
          <w:rFonts w:hint="eastAsia" w:ascii="宋体" w:hAnsi="宋体" w:cs="宋体"/>
          <w:color w:val="auto"/>
        </w:rPr>
        <w:t>（1）</w:t>
      </w:r>
      <w:r>
        <w:rPr>
          <w:rFonts w:hint="eastAsia" w:ascii="宋体" w:hAnsi="宋体" w:cs="宋体"/>
          <w:b/>
          <w:bCs/>
          <w:color w:val="auto"/>
          <w:szCs w:val="21"/>
          <w:highlight w:val="none"/>
          <w:lang w:eastAsia="zh-CN"/>
        </w:rPr>
        <w:t>乙方及时完成项目审计工作并出具审核报告，交付甲方审查确认后，</w:t>
      </w:r>
      <w:r>
        <w:rPr>
          <w:rFonts w:hint="eastAsia" w:ascii="宋体" w:hAnsi="宋体" w:cs="宋体"/>
          <w:b/>
          <w:bCs/>
          <w:color w:val="auto"/>
          <w:szCs w:val="21"/>
          <w:highlight w:val="none"/>
          <w:lang w:val="en-US" w:eastAsia="zh-CN"/>
        </w:rPr>
        <w:t>一次性支付</w:t>
      </w:r>
      <w:r>
        <w:rPr>
          <w:rFonts w:hint="eastAsia" w:ascii="宋体" w:hAnsi="宋体" w:cs="宋体"/>
          <w:b/>
          <w:bCs/>
          <w:color w:val="auto"/>
          <w:szCs w:val="21"/>
          <w:highlight w:val="none"/>
          <w:lang w:eastAsia="zh-CN"/>
        </w:rPr>
        <w:t>审计服务费用。</w:t>
      </w:r>
    </w:p>
    <w:p>
      <w:pPr>
        <w:pageBreakBefore w:val="0"/>
        <w:kinsoku/>
        <w:wordWrap/>
        <w:overflowPunct/>
        <w:topLinePunct w:val="0"/>
        <w:autoSpaceDE/>
        <w:autoSpaceDN/>
        <w:bidi w:val="0"/>
        <w:snapToGrid w:val="0"/>
        <w:spacing w:line="560" w:lineRule="exact"/>
        <w:ind w:firstLine="420" w:firstLineChars="200"/>
        <w:jc w:val="left"/>
        <w:textAlignment w:val="auto"/>
        <w:rPr>
          <w:rFonts w:ascii="宋体" w:hAnsi="宋体" w:cs="宋体"/>
          <w:color w:val="auto"/>
        </w:rPr>
      </w:pPr>
      <w:r>
        <w:rPr>
          <w:rFonts w:hint="eastAsia" w:ascii="宋体" w:hAnsi="宋体" w:cs="宋体"/>
          <w:color w:val="auto"/>
        </w:rPr>
        <w:t>（2）乙方未按要求完成跟踪审计工作并移交相关资料，甲方有权拒付审计服务费用，</w:t>
      </w:r>
      <w:r>
        <w:rPr>
          <w:rFonts w:hint="eastAsia" w:ascii="宋体" w:hAnsi="宋体" w:cs="宋体"/>
          <w:color w:val="auto"/>
          <w:highlight w:val="none"/>
        </w:rPr>
        <w:t>并按照《政府投资项目跟踪审计协审机构跟踪审计工作考核办法》的</w:t>
      </w:r>
      <w:r>
        <w:rPr>
          <w:rFonts w:hint="eastAsia" w:ascii="宋体" w:hAnsi="宋体" w:cs="宋体"/>
          <w:color w:val="auto"/>
        </w:rPr>
        <w:t>有关规定追究项目协审机构相关责任。</w:t>
      </w:r>
    </w:p>
    <w:p>
      <w:pPr>
        <w:pageBreakBefore w:val="0"/>
        <w:kinsoku/>
        <w:wordWrap/>
        <w:overflowPunct/>
        <w:topLinePunct w:val="0"/>
        <w:autoSpaceDE/>
        <w:autoSpaceDN/>
        <w:bidi w:val="0"/>
        <w:snapToGrid w:val="0"/>
        <w:spacing w:before="95" w:beforeLines="30" w:after="95" w:afterLines="30" w:line="560" w:lineRule="exact"/>
        <w:ind w:firstLine="472" w:firstLineChars="196"/>
        <w:jc w:val="left"/>
        <w:textAlignment w:val="auto"/>
        <w:rPr>
          <w:rFonts w:ascii="宋体" w:hAnsi="宋体" w:cs="宋体"/>
          <w:b/>
          <w:bCs/>
          <w:color w:val="auto"/>
          <w:sz w:val="24"/>
          <w:szCs w:val="24"/>
        </w:rPr>
      </w:pPr>
      <w:r>
        <w:rPr>
          <w:rFonts w:hint="eastAsia" w:ascii="宋体" w:hAnsi="宋体" w:cs="宋体"/>
          <w:b/>
          <w:bCs/>
          <w:color w:val="auto"/>
          <w:sz w:val="24"/>
          <w:szCs w:val="24"/>
        </w:rPr>
        <w:t>七、项目跟踪审计工作考核</w:t>
      </w:r>
    </w:p>
    <w:p>
      <w:pPr>
        <w:pageBreakBefore w:val="0"/>
        <w:kinsoku/>
        <w:wordWrap/>
        <w:overflowPunct/>
        <w:topLinePunct w:val="0"/>
        <w:autoSpaceDE/>
        <w:autoSpaceDN/>
        <w:bidi w:val="0"/>
        <w:snapToGrid w:val="0"/>
        <w:spacing w:line="560" w:lineRule="exact"/>
        <w:ind w:firstLine="420" w:firstLineChars="200"/>
        <w:jc w:val="left"/>
        <w:textAlignment w:val="auto"/>
        <w:rPr>
          <w:rFonts w:ascii="宋体" w:hAnsi="宋体" w:cs="宋体"/>
          <w:color w:val="auto"/>
        </w:rPr>
      </w:pPr>
      <w:r>
        <w:rPr>
          <w:rFonts w:hint="eastAsia" w:ascii="宋体" w:hAnsi="宋体" w:cs="宋体"/>
          <w:color w:val="auto"/>
        </w:rPr>
        <w:t>经核实，乙方有下列情形之一的，甲方可对乙方警告、扣减审计服务费用、终止审计委托协议等：</w:t>
      </w:r>
    </w:p>
    <w:p>
      <w:pPr>
        <w:pageBreakBefore w:val="0"/>
        <w:kinsoku/>
        <w:wordWrap/>
        <w:overflowPunct/>
        <w:topLinePunct w:val="0"/>
        <w:autoSpaceDE/>
        <w:autoSpaceDN/>
        <w:bidi w:val="0"/>
        <w:snapToGrid w:val="0"/>
        <w:spacing w:line="560" w:lineRule="exact"/>
        <w:ind w:firstLine="420" w:firstLineChars="200"/>
        <w:jc w:val="left"/>
        <w:textAlignment w:val="auto"/>
        <w:rPr>
          <w:rFonts w:ascii="宋体" w:hAnsi="宋体" w:cs="宋体"/>
          <w:color w:val="auto"/>
        </w:rPr>
      </w:pPr>
      <w:r>
        <w:rPr>
          <w:rFonts w:hint="eastAsia" w:ascii="宋体" w:hAnsi="宋体" w:cs="宋体"/>
          <w:color w:val="auto"/>
        </w:rPr>
        <w:t>（1）工程结算审核报告存在重大失误或质量低劣；</w:t>
      </w:r>
    </w:p>
    <w:p>
      <w:pPr>
        <w:pageBreakBefore w:val="0"/>
        <w:kinsoku/>
        <w:wordWrap/>
        <w:overflowPunct/>
        <w:topLinePunct w:val="0"/>
        <w:autoSpaceDE/>
        <w:autoSpaceDN/>
        <w:bidi w:val="0"/>
        <w:snapToGrid w:val="0"/>
        <w:spacing w:line="560" w:lineRule="exact"/>
        <w:ind w:firstLine="420" w:firstLineChars="200"/>
        <w:jc w:val="left"/>
        <w:textAlignment w:val="auto"/>
        <w:rPr>
          <w:rFonts w:ascii="宋体" w:hAnsi="宋体" w:cs="宋体"/>
          <w:color w:val="auto"/>
        </w:rPr>
      </w:pPr>
      <w:r>
        <w:rPr>
          <w:rFonts w:hint="eastAsia" w:ascii="宋体" w:hAnsi="宋体" w:cs="宋体"/>
          <w:color w:val="auto"/>
        </w:rPr>
        <w:t>（2）因自身工作错误或过失造成重大损失；</w:t>
      </w:r>
    </w:p>
    <w:p>
      <w:pPr>
        <w:pageBreakBefore w:val="0"/>
        <w:kinsoku/>
        <w:wordWrap/>
        <w:overflowPunct/>
        <w:topLinePunct w:val="0"/>
        <w:autoSpaceDE/>
        <w:autoSpaceDN/>
        <w:bidi w:val="0"/>
        <w:snapToGrid w:val="0"/>
        <w:spacing w:line="560" w:lineRule="exact"/>
        <w:ind w:firstLine="420" w:firstLineChars="200"/>
        <w:jc w:val="left"/>
        <w:textAlignment w:val="auto"/>
        <w:rPr>
          <w:rFonts w:ascii="宋体" w:hAnsi="宋体" w:cs="宋体"/>
          <w:color w:val="auto"/>
        </w:rPr>
      </w:pPr>
      <w:r>
        <w:rPr>
          <w:rFonts w:hint="eastAsia" w:ascii="宋体" w:hAnsi="宋体" w:cs="宋体"/>
          <w:color w:val="auto"/>
        </w:rPr>
        <w:t>（3）未经允许私自向施工单位透露审核情况或信息；</w:t>
      </w:r>
    </w:p>
    <w:p>
      <w:pPr>
        <w:pageBreakBefore w:val="0"/>
        <w:kinsoku/>
        <w:wordWrap/>
        <w:overflowPunct/>
        <w:topLinePunct w:val="0"/>
        <w:autoSpaceDE/>
        <w:autoSpaceDN/>
        <w:bidi w:val="0"/>
        <w:snapToGrid w:val="0"/>
        <w:spacing w:line="560" w:lineRule="exact"/>
        <w:ind w:firstLine="420" w:firstLineChars="200"/>
        <w:jc w:val="left"/>
        <w:textAlignment w:val="auto"/>
        <w:rPr>
          <w:rFonts w:ascii="宋体" w:hAnsi="宋体" w:cs="宋体"/>
          <w:color w:val="auto"/>
        </w:rPr>
      </w:pPr>
      <w:r>
        <w:rPr>
          <w:rFonts w:hint="eastAsia" w:ascii="宋体" w:hAnsi="宋体" w:cs="宋体"/>
          <w:color w:val="auto"/>
        </w:rPr>
        <w:t>（4）向相关单位或个人索要财物等谋取不正当利益；</w:t>
      </w:r>
    </w:p>
    <w:p>
      <w:pPr>
        <w:pageBreakBefore w:val="0"/>
        <w:kinsoku/>
        <w:wordWrap/>
        <w:overflowPunct/>
        <w:topLinePunct w:val="0"/>
        <w:autoSpaceDE/>
        <w:autoSpaceDN/>
        <w:bidi w:val="0"/>
        <w:snapToGrid w:val="0"/>
        <w:spacing w:line="560" w:lineRule="exact"/>
        <w:ind w:firstLine="420" w:firstLineChars="200"/>
        <w:jc w:val="left"/>
        <w:textAlignment w:val="auto"/>
        <w:rPr>
          <w:rFonts w:ascii="宋体" w:hAnsi="宋体" w:cs="宋体"/>
          <w:color w:val="auto"/>
        </w:rPr>
      </w:pPr>
      <w:r>
        <w:rPr>
          <w:rFonts w:hint="eastAsia" w:ascii="宋体" w:hAnsi="宋体" w:cs="宋体"/>
          <w:color w:val="auto"/>
        </w:rPr>
        <w:t>（5）单独或与其他各方串通舞弊、弄虚作假虚增；</w:t>
      </w:r>
    </w:p>
    <w:p>
      <w:pPr>
        <w:pageBreakBefore w:val="0"/>
        <w:kinsoku/>
        <w:wordWrap/>
        <w:overflowPunct/>
        <w:topLinePunct w:val="0"/>
        <w:autoSpaceDE/>
        <w:autoSpaceDN/>
        <w:bidi w:val="0"/>
        <w:snapToGrid w:val="0"/>
        <w:spacing w:line="560" w:lineRule="exact"/>
        <w:ind w:firstLine="420" w:firstLineChars="200"/>
        <w:jc w:val="left"/>
        <w:textAlignment w:val="auto"/>
        <w:rPr>
          <w:rFonts w:ascii="宋体" w:hAnsi="宋体" w:cs="宋体"/>
          <w:color w:val="auto"/>
        </w:rPr>
      </w:pPr>
      <w:r>
        <w:rPr>
          <w:rFonts w:hint="eastAsia" w:ascii="宋体" w:hAnsi="宋体" w:cs="宋体"/>
          <w:color w:val="auto"/>
        </w:rPr>
        <w:t>（6）其他违反法律法规和政策的行为。</w:t>
      </w:r>
    </w:p>
    <w:p>
      <w:pPr>
        <w:pageBreakBefore w:val="0"/>
        <w:kinsoku/>
        <w:wordWrap/>
        <w:overflowPunct/>
        <w:topLinePunct w:val="0"/>
        <w:autoSpaceDE/>
        <w:autoSpaceDN/>
        <w:bidi w:val="0"/>
        <w:snapToGrid w:val="0"/>
        <w:spacing w:line="560" w:lineRule="exact"/>
        <w:ind w:firstLine="482" w:firstLineChars="200"/>
        <w:jc w:val="left"/>
        <w:textAlignment w:val="auto"/>
        <w:rPr>
          <w:rFonts w:ascii="宋体" w:hAnsi="宋体" w:cs="宋体"/>
          <w:color w:val="auto"/>
        </w:rPr>
      </w:pPr>
      <w:r>
        <w:rPr>
          <w:rFonts w:hint="eastAsia" w:ascii="宋体" w:hAnsi="宋体" w:cs="宋体"/>
          <w:b/>
          <w:bCs/>
          <w:color w:val="auto"/>
          <w:sz w:val="24"/>
          <w:szCs w:val="24"/>
        </w:rPr>
        <w:t>八、甲乙双方的权利和义务</w:t>
      </w:r>
      <w:r>
        <w:rPr>
          <w:rFonts w:hint="eastAsia" w:ascii="宋体" w:hAnsi="宋体" w:cs="宋体"/>
          <w:color w:val="auto"/>
        </w:rPr>
        <w:t xml:space="preserve"> </w:t>
      </w:r>
    </w:p>
    <w:p>
      <w:pPr>
        <w:pageBreakBefore w:val="0"/>
        <w:kinsoku/>
        <w:wordWrap/>
        <w:overflowPunct/>
        <w:topLinePunct w:val="0"/>
        <w:autoSpaceDE/>
        <w:autoSpaceDN/>
        <w:bidi w:val="0"/>
        <w:snapToGrid w:val="0"/>
        <w:spacing w:line="560" w:lineRule="exact"/>
        <w:ind w:firstLine="420" w:firstLineChars="200"/>
        <w:jc w:val="left"/>
        <w:textAlignment w:val="auto"/>
        <w:rPr>
          <w:rFonts w:ascii="宋体" w:hAnsi="宋体" w:cs="宋体"/>
          <w:color w:val="auto"/>
        </w:rPr>
      </w:pPr>
      <w:r>
        <w:rPr>
          <w:rFonts w:hint="eastAsia" w:ascii="宋体" w:hAnsi="宋体" w:cs="宋体"/>
          <w:color w:val="auto"/>
        </w:rPr>
        <w:t xml:space="preserve">1.甲方权利和义务 </w:t>
      </w:r>
    </w:p>
    <w:p>
      <w:pPr>
        <w:pageBreakBefore w:val="0"/>
        <w:kinsoku/>
        <w:wordWrap/>
        <w:overflowPunct/>
        <w:topLinePunct w:val="0"/>
        <w:autoSpaceDE/>
        <w:autoSpaceDN/>
        <w:bidi w:val="0"/>
        <w:snapToGrid w:val="0"/>
        <w:spacing w:line="560" w:lineRule="exact"/>
        <w:ind w:firstLine="420" w:firstLineChars="200"/>
        <w:jc w:val="left"/>
        <w:textAlignment w:val="auto"/>
        <w:rPr>
          <w:rFonts w:ascii="宋体" w:hAnsi="宋体" w:cs="宋体"/>
          <w:color w:val="auto"/>
        </w:rPr>
      </w:pPr>
      <w:r>
        <w:rPr>
          <w:rFonts w:hint="eastAsia" w:ascii="宋体" w:hAnsi="宋体" w:cs="宋体"/>
          <w:color w:val="auto"/>
        </w:rPr>
        <w:t>（1）甲方有权对乙方的跟踪审计项目实施监督，对乙方审计工作程序、质量和效率等进行检查考核；</w:t>
      </w:r>
    </w:p>
    <w:p>
      <w:pPr>
        <w:pageBreakBefore w:val="0"/>
        <w:kinsoku/>
        <w:wordWrap/>
        <w:overflowPunct/>
        <w:topLinePunct w:val="0"/>
        <w:autoSpaceDE/>
        <w:autoSpaceDN/>
        <w:bidi w:val="0"/>
        <w:snapToGrid w:val="0"/>
        <w:spacing w:line="560" w:lineRule="exact"/>
        <w:ind w:firstLine="420" w:firstLineChars="200"/>
        <w:jc w:val="left"/>
        <w:textAlignment w:val="auto"/>
        <w:rPr>
          <w:rFonts w:ascii="宋体" w:hAnsi="宋体" w:cs="宋体"/>
          <w:color w:val="auto"/>
        </w:rPr>
      </w:pPr>
      <w:r>
        <w:rPr>
          <w:rFonts w:hint="eastAsia" w:ascii="宋体" w:hAnsi="宋体" w:cs="宋体"/>
          <w:color w:val="auto"/>
        </w:rPr>
        <w:t>（2）项目跟踪审计过程中，甲方如发现乙方所派审计人员不符合要求或不能胜任岗位工作职责的，甲方有权要求乙方及时调换，或视情况给予相应的处理、处罚；</w:t>
      </w:r>
    </w:p>
    <w:p>
      <w:pPr>
        <w:pageBreakBefore w:val="0"/>
        <w:kinsoku/>
        <w:wordWrap/>
        <w:overflowPunct/>
        <w:topLinePunct w:val="0"/>
        <w:autoSpaceDE/>
        <w:autoSpaceDN/>
        <w:bidi w:val="0"/>
        <w:snapToGrid w:val="0"/>
        <w:spacing w:line="560" w:lineRule="exact"/>
        <w:ind w:firstLine="420" w:firstLineChars="200"/>
        <w:jc w:val="left"/>
        <w:textAlignment w:val="auto"/>
        <w:rPr>
          <w:rFonts w:ascii="宋体" w:hAnsi="宋体" w:cs="宋体"/>
          <w:color w:val="auto"/>
        </w:rPr>
      </w:pPr>
      <w:r>
        <w:rPr>
          <w:rFonts w:hint="eastAsia" w:ascii="宋体" w:hAnsi="宋体" w:cs="宋体"/>
          <w:color w:val="auto"/>
        </w:rPr>
        <w:t>（3）甲方保证乙方审计服务费用的按时到位。</w:t>
      </w:r>
    </w:p>
    <w:p>
      <w:pPr>
        <w:pageBreakBefore w:val="0"/>
        <w:kinsoku/>
        <w:wordWrap/>
        <w:overflowPunct/>
        <w:topLinePunct w:val="0"/>
        <w:autoSpaceDE/>
        <w:autoSpaceDN/>
        <w:bidi w:val="0"/>
        <w:snapToGrid w:val="0"/>
        <w:spacing w:line="560" w:lineRule="exact"/>
        <w:ind w:firstLine="420" w:firstLineChars="200"/>
        <w:jc w:val="left"/>
        <w:textAlignment w:val="auto"/>
        <w:rPr>
          <w:rFonts w:ascii="宋体" w:hAnsi="宋体" w:cs="宋体"/>
          <w:color w:val="auto"/>
        </w:rPr>
      </w:pPr>
      <w:r>
        <w:rPr>
          <w:rFonts w:hint="eastAsia" w:ascii="宋体" w:hAnsi="宋体" w:cs="宋体"/>
          <w:color w:val="auto"/>
        </w:rPr>
        <w:t>2.乙方权利和义务</w:t>
      </w:r>
    </w:p>
    <w:p>
      <w:pPr>
        <w:pageBreakBefore w:val="0"/>
        <w:kinsoku/>
        <w:wordWrap/>
        <w:overflowPunct/>
        <w:topLinePunct w:val="0"/>
        <w:autoSpaceDE/>
        <w:autoSpaceDN/>
        <w:bidi w:val="0"/>
        <w:snapToGrid w:val="0"/>
        <w:spacing w:line="560" w:lineRule="exact"/>
        <w:ind w:firstLine="420" w:firstLineChars="200"/>
        <w:jc w:val="left"/>
        <w:textAlignment w:val="auto"/>
        <w:rPr>
          <w:rFonts w:ascii="宋体" w:hAnsi="宋体" w:cs="宋体"/>
          <w:color w:val="auto"/>
        </w:rPr>
      </w:pPr>
      <w:r>
        <w:rPr>
          <w:rFonts w:hint="eastAsia" w:ascii="宋体" w:hAnsi="宋体" w:cs="宋体"/>
          <w:color w:val="auto"/>
        </w:rPr>
        <w:t>（1）乙方在完成审计任务后，有权及时取得审计服务费用；</w:t>
      </w:r>
    </w:p>
    <w:p>
      <w:pPr>
        <w:pageBreakBefore w:val="0"/>
        <w:kinsoku/>
        <w:wordWrap/>
        <w:overflowPunct/>
        <w:topLinePunct w:val="0"/>
        <w:autoSpaceDE/>
        <w:autoSpaceDN/>
        <w:bidi w:val="0"/>
        <w:snapToGrid w:val="0"/>
        <w:spacing w:line="560" w:lineRule="exact"/>
        <w:ind w:firstLine="420" w:firstLineChars="200"/>
        <w:jc w:val="left"/>
        <w:textAlignment w:val="auto"/>
        <w:rPr>
          <w:rFonts w:ascii="宋体" w:hAnsi="宋体" w:cs="宋体"/>
          <w:color w:val="auto"/>
        </w:rPr>
      </w:pPr>
      <w:r>
        <w:rPr>
          <w:rFonts w:hint="eastAsia" w:ascii="宋体" w:hAnsi="宋体" w:cs="宋体"/>
          <w:color w:val="auto"/>
        </w:rPr>
        <w:t>（2）乙方须依照甲方工作要求及行业准则、规范，按时、保质、保量完成所承担的审计任务；</w:t>
      </w:r>
    </w:p>
    <w:p>
      <w:pPr>
        <w:pageBreakBefore w:val="0"/>
        <w:kinsoku/>
        <w:wordWrap/>
        <w:overflowPunct/>
        <w:topLinePunct w:val="0"/>
        <w:autoSpaceDE/>
        <w:autoSpaceDN/>
        <w:bidi w:val="0"/>
        <w:snapToGrid w:val="0"/>
        <w:spacing w:line="560" w:lineRule="exact"/>
        <w:ind w:firstLine="420" w:firstLineChars="200"/>
        <w:jc w:val="left"/>
        <w:textAlignment w:val="auto"/>
        <w:rPr>
          <w:rFonts w:hint="eastAsia" w:ascii="宋体" w:hAnsi="宋体" w:cs="宋体"/>
          <w:color w:val="auto"/>
        </w:rPr>
      </w:pPr>
      <w:r>
        <w:rPr>
          <w:rFonts w:hint="eastAsia" w:ascii="宋体" w:hAnsi="宋体" w:cs="宋体"/>
          <w:color w:val="auto"/>
        </w:rPr>
        <w:t>（3）乙方必须对审计人员进行廉政教育，如发现有违反廉洁自律规定的行为，应立即更换人员，并对其严肃处理。同时，甲方可根据性质及情节，扣减相应审计服务费用。</w:t>
      </w:r>
    </w:p>
    <w:p>
      <w:pPr>
        <w:pageBreakBefore w:val="0"/>
        <w:kinsoku/>
        <w:wordWrap/>
        <w:overflowPunct/>
        <w:topLinePunct w:val="0"/>
        <w:autoSpaceDE/>
        <w:autoSpaceDN/>
        <w:bidi w:val="0"/>
        <w:snapToGrid w:val="0"/>
        <w:spacing w:line="560" w:lineRule="exact"/>
        <w:ind w:firstLine="420" w:firstLineChars="200"/>
        <w:jc w:val="left"/>
        <w:textAlignment w:val="auto"/>
        <w:rPr>
          <w:rFonts w:hint="eastAsia" w:ascii="宋体" w:hAnsi="宋体" w:eastAsia="宋体" w:cs="宋体"/>
          <w:color w:val="auto"/>
          <w:lang w:eastAsia="zh-CN"/>
        </w:rPr>
      </w:pPr>
      <w:r>
        <w:rPr>
          <w:rFonts w:hint="eastAsia" w:ascii="宋体" w:hAnsi="宋体" w:cs="宋体"/>
          <w:color w:val="auto"/>
          <w:lang w:eastAsia="zh-CN"/>
        </w:rPr>
        <w:t>（</w:t>
      </w:r>
      <w:r>
        <w:rPr>
          <w:rFonts w:hint="eastAsia" w:ascii="宋体" w:hAnsi="宋体" w:cs="宋体"/>
          <w:color w:val="auto"/>
          <w:lang w:val="en-US" w:eastAsia="zh-CN"/>
        </w:rPr>
        <w:t>4</w:t>
      </w:r>
      <w:r>
        <w:rPr>
          <w:rFonts w:hint="eastAsia" w:ascii="宋体" w:hAnsi="宋体" w:cs="宋体"/>
          <w:color w:val="auto"/>
          <w:lang w:eastAsia="zh-CN"/>
        </w:rPr>
        <w:t>）拟派人员实行考勤，考勤由建设单位或监理单位负责，项目负责人每月在岗时间不得少于22天，且每天驻场人员不得少于2人，否则扣除5000元/天，若发现三次以上，招标人有权清退出场。</w:t>
      </w:r>
    </w:p>
    <w:p>
      <w:pPr>
        <w:pageBreakBefore w:val="0"/>
        <w:kinsoku/>
        <w:wordWrap/>
        <w:overflowPunct/>
        <w:topLinePunct w:val="0"/>
        <w:autoSpaceDE/>
        <w:autoSpaceDN/>
        <w:bidi w:val="0"/>
        <w:snapToGrid w:val="0"/>
        <w:spacing w:before="95" w:beforeLines="30" w:after="95" w:afterLines="30" w:line="560" w:lineRule="exact"/>
        <w:ind w:firstLine="472" w:firstLineChars="196"/>
        <w:jc w:val="left"/>
        <w:textAlignment w:val="auto"/>
        <w:rPr>
          <w:rFonts w:ascii="宋体" w:hAnsi="宋体" w:cs="宋体"/>
          <w:b/>
          <w:bCs/>
          <w:color w:val="auto"/>
          <w:sz w:val="24"/>
          <w:szCs w:val="24"/>
        </w:rPr>
      </w:pPr>
      <w:r>
        <w:rPr>
          <w:rFonts w:hint="eastAsia" w:ascii="宋体" w:hAnsi="宋体" w:cs="宋体"/>
          <w:b/>
          <w:bCs/>
          <w:color w:val="auto"/>
          <w:sz w:val="24"/>
          <w:szCs w:val="24"/>
        </w:rPr>
        <w:t>九、附则</w:t>
      </w:r>
    </w:p>
    <w:p>
      <w:pPr>
        <w:pageBreakBefore w:val="0"/>
        <w:kinsoku/>
        <w:wordWrap/>
        <w:overflowPunct/>
        <w:topLinePunct w:val="0"/>
        <w:autoSpaceDE/>
        <w:autoSpaceDN/>
        <w:bidi w:val="0"/>
        <w:snapToGrid w:val="0"/>
        <w:spacing w:line="560" w:lineRule="exact"/>
        <w:ind w:firstLine="420" w:firstLineChars="200"/>
        <w:jc w:val="left"/>
        <w:textAlignment w:val="auto"/>
        <w:rPr>
          <w:rFonts w:ascii="宋体" w:hAnsi="宋体" w:cs="宋体"/>
          <w:b/>
          <w:color w:val="auto"/>
        </w:rPr>
      </w:pPr>
      <w:r>
        <w:rPr>
          <w:rFonts w:hint="eastAsia" w:ascii="宋体" w:hAnsi="宋体" w:cs="宋体"/>
          <w:color w:val="auto"/>
        </w:rPr>
        <w:t>1.本协议一式肆份，具有同等法律效力，甲方、乙方各执贰份。</w:t>
      </w:r>
    </w:p>
    <w:p>
      <w:pPr>
        <w:pageBreakBefore w:val="0"/>
        <w:kinsoku/>
        <w:wordWrap/>
        <w:overflowPunct/>
        <w:topLinePunct w:val="0"/>
        <w:autoSpaceDE/>
        <w:autoSpaceDN/>
        <w:bidi w:val="0"/>
        <w:snapToGrid w:val="0"/>
        <w:spacing w:line="560" w:lineRule="exact"/>
        <w:ind w:firstLine="420" w:firstLineChars="200"/>
        <w:jc w:val="left"/>
        <w:textAlignment w:val="auto"/>
        <w:rPr>
          <w:rFonts w:ascii="宋体" w:hAnsi="宋体" w:cs="宋体"/>
          <w:color w:val="auto"/>
        </w:rPr>
      </w:pPr>
      <w:r>
        <w:rPr>
          <w:rFonts w:hint="eastAsia" w:ascii="宋体" w:hAnsi="宋体" w:cs="宋体"/>
          <w:color w:val="auto"/>
        </w:rPr>
        <w:t>2.本协议未尽事宜，由甲乙双方协商解决。协商不成，可向滁州市南谯区人民法院提起诉讼。</w:t>
      </w:r>
    </w:p>
    <w:p>
      <w:pPr>
        <w:pageBreakBefore w:val="0"/>
        <w:kinsoku/>
        <w:wordWrap/>
        <w:overflowPunct/>
        <w:topLinePunct w:val="0"/>
        <w:autoSpaceDE/>
        <w:autoSpaceDN/>
        <w:bidi w:val="0"/>
        <w:snapToGrid w:val="0"/>
        <w:spacing w:line="560" w:lineRule="exact"/>
        <w:ind w:firstLine="420" w:firstLineChars="200"/>
        <w:jc w:val="left"/>
        <w:textAlignment w:val="auto"/>
        <w:rPr>
          <w:rFonts w:ascii="宋体" w:hAnsi="宋体" w:cs="宋体"/>
          <w:color w:val="auto"/>
        </w:rPr>
      </w:pPr>
      <w:r>
        <w:rPr>
          <w:rFonts w:hint="eastAsia" w:ascii="宋体" w:hAnsi="宋体" w:cs="宋体"/>
          <w:color w:val="auto"/>
        </w:rPr>
        <w:t>3.本合同自双方签章后生效。</w:t>
      </w:r>
    </w:p>
    <w:p>
      <w:pPr>
        <w:pageBreakBefore w:val="0"/>
        <w:kinsoku/>
        <w:wordWrap/>
        <w:overflowPunct/>
        <w:topLinePunct w:val="0"/>
        <w:autoSpaceDE/>
        <w:autoSpaceDN/>
        <w:bidi w:val="0"/>
        <w:spacing w:line="560" w:lineRule="exact"/>
        <w:ind w:firstLine="1680" w:firstLineChars="800"/>
        <w:jc w:val="left"/>
        <w:textAlignment w:val="auto"/>
        <w:rPr>
          <w:rFonts w:hint="eastAsia" w:ascii="宋体" w:hAnsi="宋体" w:cs="宋体"/>
          <w:color w:val="auto"/>
        </w:rPr>
      </w:pPr>
    </w:p>
    <w:p>
      <w:pPr>
        <w:pageBreakBefore w:val="0"/>
        <w:kinsoku/>
        <w:wordWrap/>
        <w:overflowPunct/>
        <w:topLinePunct w:val="0"/>
        <w:autoSpaceDE/>
        <w:autoSpaceDN/>
        <w:bidi w:val="0"/>
        <w:spacing w:line="560" w:lineRule="exact"/>
        <w:ind w:firstLine="1680" w:firstLineChars="800"/>
        <w:jc w:val="left"/>
        <w:textAlignment w:val="auto"/>
        <w:rPr>
          <w:rFonts w:hint="eastAsia" w:ascii="宋体" w:hAnsi="宋体" w:cs="宋体"/>
          <w:color w:val="auto"/>
        </w:rPr>
      </w:pPr>
    </w:p>
    <w:p>
      <w:pPr>
        <w:pageBreakBefore w:val="0"/>
        <w:kinsoku/>
        <w:wordWrap/>
        <w:overflowPunct/>
        <w:topLinePunct w:val="0"/>
        <w:autoSpaceDE/>
        <w:autoSpaceDN/>
        <w:bidi w:val="0"/>
        <w:spacing w:line="560" w:lineRule="exact"/>
        <w:ind w:firstLine="840" w:firstLineChars="400"/>
        <w:jc w:val="left"/>
        <w:textAlignment w:val="auto"/>
        <w:rPr>
          <w:rFonts w:ascii="宋体" w:hAnsi="宋体" w:cs="宋体"/>
          <w:color w:val="auto"/>
        </w:rPr>
      </w:pPr>
      <w:r>
        <w:rPr>
          <w:rFonts w:hint="eastAsia" w:ascii="宋体" w:hAnsi="宋体" w:cs="宋体"/>
          <w:color w:val="auto"/>
        </w:rPr>
        <w:t xml:space="preserve">甲方（签章）                 </w:t>
      </w:r>
      <w:r>
        <w:rPr>
          <w:rFonts w:hint="eastAsia" w:ascii="宋体" w:hAnsi="宋体" w:cs="宋体"/>
          <w:color w:val="auto"/>
          <w:lang w:val="en-US" w:eastAsia="zh-CN"/>
        </w:rPr>
        <w:t xml:space="preserve">   </w:t>
      </w:r>
      <w:r>
        <w:rPr>
          <w:rFonts w:hint="eastAsia" w:ascii="宋体" w:hAnsi="宋体" w:cs="宋体"/>
          <w:color w:val="auto"/>
        </w:rPr>
        <w:t xml:space="preserve"> </w:t>
      </w:r>
      <w:r>
        <w:rPr>
          <w:rFonts w:hint="eastAsia" w:ascii="宋体" w:hAnsi="宋体" w:cs="宋体"/>
          <w:color w:val="auto"/>
          <w:lang w:val="en-US" w:eastAsia="zh-CN"/>
        </w:rPr>
        <w:t xml:space="preserve">      </w:t>
      </w:r>
      <w:r>
        <w:rPr>
          <w:rFonts w:hint="eastAsia" w:ascii="宋体" w:hAnsi="宋体" w:cs="宋体"/>
          <w:color w:val="auto"/>
        </w:rPr>
        <w:t>乙方（签章）</w:t>
      </w:r>
    </w:p>
    <w:p>
      <w:pPr>
        <w:pStyle w:val="42"/>
        <w:pageBreakBefore w:val="0"/>
        <w:kinsoku/>
        <w:wordWrap/>
        <w:overflowPunct/>
        <w:topLinePunct w:val="0"/>
        <w:autoSpaceDE/>
        <w:autoSpaceDN/>
        <w:bidi w:val="0"/>
        <w:snapToGrid w:val="0"/>
        <w:spacing w:before="0" w:beforeAutospacing="0" w:after="0" w:afterAutospacing="0" w:line="560" w:lineRule="exact"/>
        <w:ind w:firstLine="840" w:firstLineChars="400"/>
        <w:textAlignment w:val="auto"/>
        <w:rPr>
          <w:rFonts w:ascii="仿宋_GB2312" w:hAnsi="仿宋" w:eastAsia="仿宋_GB2312" w:cs="Times New Roman"/>
          <w:color w:val="auto"/>
          <w:kern w:val="2"/>
          <w:sz w:val="28"/>
          <w:szCs w:val="28"/>
        </w:rPr>
      </w:pPr>
      <w:r>
        <w:rPr>
          <w:rFonts w:hint="eastAsia"/>
          <w:color w:val="auto"/>
          <w:sz w:val="21"/>
          <w:szCs w:val="21"/>
        </w:rPr>
        <w:t xml:space="preserve">年    月    日                </w:t>
      </w:r>
      <w:r>
        <w:rPr>
          <w:rFonts w:hint="eastAsia"/>
          <w:color w:val="auto"/>
          <w:sz w:val="21"/>
          <w:szCs w:val="21"/>
          <w:lang w:val="en-US" w:eastAsia="zh-CN"/>
        </w:rPr>
        <w:t xml:space="preserve">     </w:t>
      </w:r>
      <w:r>
        <w:rPr>
          <w:rFonts w:hint="eastAsia"/>
          <w:color w:val="auto"/>
          <w:sz w:val="21"/>
          <w:szCs w:val="21"/>
        </w:rPr>
        <w:t xml:space="preserve"> </w:t>
      </w:r>
      <w:r>
        <w:rPr>
          <w:rFonts w:hint="eastAsia"/>
          <w:color w:val="auto"/>
          <w:sz w:val="21"/>
          <w:szCs w:val="21"/>
          <w:lang w:val="en-US" w:eastAsia="zh-CN"/>
        </w:rPr>
        <w:t xml:space="preserve">   </w:t>
      </w:r>
      <w:r>
        <w:rPr>
          <w:rFonts w:hint="eastAsia"/>
          <w:color w:val="auto"/>
          <w:sz w:val="21"/>
          <w:szCs w:val="21"/>
        </w:rPr>
        <w:t>年   月   日</w:t>
      </w:r>
      <w:r>
        <w:rPr>
          <w:rFonts w:hint="eastAsia" w:ascii="仿宋_GB2312" w:hAnsi="仿宋" w:eastAsia="仿宋_GB2312" w:cs="Times New Roman"/>
          <w:color w:val="auto"/>
          <w:kern w:val="2"/>
          <w:sz w:val="28"/>
          <w:szCs w:val="28"/>
        </w:rPr>
        <w:t xml:space="preserve"> </w:t>
      </w:r>
    </w:p>
    <w:p>
      <w:pPr>
        <w:spacing w:before="159" w:beforeLines="50" w:after="159" w:afterLines="50"/>
        <w:jc w:val="center"/>
        <w:rPr>
          <w:rFonts w:ascii="宋体"/>
          <w:b/>
          <w:color w:val="auto"/>
          <w:sz w:val="32"/>
          <w:szCs w:val="32"/>
        </w:rPr>
      </w:pPr>
    </w:p>
    <w:p>
      <w:pPr>
        <w:rPr>
          <w:color w:val="auto"/>
        </w:rPr>
      </w:pPr>
      <w:r>
        <w:rPr>
          <w:rFonts w:hint="eastAsia" w:ascii="仿宋_GB2312" w:eastAsia="仿宋_GB2312"/>
          <w:color w:val="auto"/>
          <w:sz w:val="28"/>
          <w:szCs w:val="28"/>
          <w:u w:val="single"/>
        </w:rPr>
        <w:t xml:space="preserve">       </w:t>
      </w:r>
    </w:p>
    <w:p>
      <w:pPr>
        <w:pStyle w:val="6"/>
        <w:spacing w:before="0" w:after="0"/>
        <w:rPr>
          <w:rFonts w:hint="eastAsia" w:ascii="宋体" w:hAnsi="宋体" w:eastAsia="宋体" w:cs="宋体"/>
          <w:color w:val="auto"/>
          <w:kern w:val="2"/>
          <w:sz w:val="28"/>
          <w:szCs w:val="28"/>
        </w:rPr>
      </w:pPr>
      <w:bookmarkStart w:id="96" w:name="_Toc31238"/>
      <w:bookmarkStart w:id="97" w:name="_Toc20381"/>
    </w:p>
    <w:p>
      <w:pPr>
        <w:pStyle w:val="6"/>
        <w:spacing w:before="0" w:after="0"/>
        <w:rPr>
          <w:rFonts w:ascii="宋体" w:hAnsi="宋体" w:eastAsia="宋体" w:cs="宋体"/>
          <w:color w:val="auto"/>
          <w:kern w:val="2"/>
          <w:sz w:val="28"/>
          <w:szCs w:val="28"/>
        </w:rPr>
      </w:pPr>
      <w:r>
        <w:rPr>
          <w:rFonts w:hint="eastAsia" w:ascii="宋体" w:hAnsi="宋体" w:eastAsia="宋体" w:cs="宋体"/>
          <w:color w:val="auto"/>
          <w:kern w:val="2"/>
          <w:sz w:val="28"/>
          <w:szCs w:val="28"/>
        </w:rPr>
        <w:t>第</w:t>
      </w:r>
      <w:r>
        <w:rPr>
          <w:rFonts w:hint="eastAsia" w:ascii="宋体" w:hAnsi="宋体" w:eastAsia="宋体" w:cs="宋体"/>
          <w:color w:val="auto"/>
          <w:kern w:val="2"/>
          <w:sz w:val="28"/>
          <w:szCs w:val="28"/>
          <w:lang w:val="en-US" w:eastAsia="zh-CN"/>
        </w:rPr>
        <w:t>六</w:t>
      </w:r>
      <w:r>
        <w:rPr>
          <w:rFonts w:hint="eastAsia" w:ascii="宋体" w:hAnsi="宋体" w:eastAsia="宋体" w:cs="宋体"/>
          <w:color w:val="auto"/>
          <w:kern w:val="2"/>
          <w:sz w:val="28"/>
          <w:szCs w:val="28"/>
        </w:rPr>
        <w:t>章投标文件格式</w:t>
      </w:r>
      <w:bookmarkEnd w:id="96"/>
      <w:bookmarkEnd w:id="97"/>
    </w:p>
    <w:p>
      <w:pPr>
        <w:jc w:val="center"/>
        <w:rPr>
          <w:rFonts w:ascii="宋体" w:hAnsi="宋体" w:cs="宋体"/>
          <w:color w:val="auto"/>
          <w:sz w:val="28"/>
          <w:szCs w:val="28"/>
          <w:u w:val="single"/>
        </w:rPr>
      </w:pPr>
    </w:p>
    <w:p>
      <w:pPr>
        <w:pStyle w:val="2"/>
        <w:ind w:firstLine="560"/>
        <w:rPr>
          <w:color w:val="auto"/>
        </w:rPr>
      </w:pPr>
    </w:p>
    <w:p>
      <w:pPr>
        <w:jc w:val="center"/>
        <w:rPr>
          <w:rFonts w:eastAsia="黑体"/>
          <w:color w:val="auto"/>
          <w:sz w:val="20"/>
          <w:szCs w:val="20"/>
        </w:rPr>
      </w:pPr>
      <w:r>
        <w:rPr>
          <w:rFonts w:eastAsia="黑体"/>
          <w:color w:val="auto"/>
          <w:sz w:val="28"/>
          <w:szCs w:val="28"/>
          <w:u w:val="single"/>
        </w:rPr>
        <w:t xml:space="preserve">                </w:t>
      </w:r>
      <w:r>
        <w:rPr>
          <w:rFonts w:eastAsia="黑体"/>
          <w:color w:val="auto"/>
          <w:sz w:val="28"/>
          <w:szCs w:val="28"/>
        </w:rPr>
        <w:t>（项目名称）</w:t>
      </w:r>
    </w:p>
    <w:p>
      <w:pPr>
        <w:jc w:val="center"/>
        <w:rPr>
          <w:rFonts w:eastAsia="黑体"/>
          <w:color w:val="auto"/>
          <w:sz w:val="20"/>
          <w:szCs w:val="20"/>
        </w:rPr>
      </w:pPr>
    </w:p>
    <w:p>
      <w:pPr>
        <w:rPr>
          <w:rFonts w:eastAsia="黑体"/>
          <w:color w:val="auto"/>
          <w:sz w:val="20"/>
          <w:szCs w:val="20"/>
        </w:rPr>
      </w:pPr>
    </w:p>
    <w:p>
      <w:pPr>
        <w:jc w:val="center"/>
        <w:rPr>
          <w:rFonts w:hint="eastAsia" w:eastAsia="黑体"/>
          <w:color w:val="auto"/>
          <w:sz w:val="44"/>
          <w:szCs w:val="44"/>
          <w:lang w:eastAsia="zh-CN"/>
        </w:rPr>
      </w:pPr>
      <w:r>
        <w:rPr>
          <w:rFonts w:eastAsia="黑体"/>
          <w:color w:val="auto"/>
          <w:sz w:val="44"/>
          <w:szCs w:val="44"/>
        </w:rPr>
        <w:t xml:space="preserve">投  标  文  件  </w:t>
      </w:r>
      <w:r>
        <w:rPr>
          <w:rFonts w:hint="eastAsia" w:eastAsia="黑体"/>
          <w:color w:val="auto"/>
          <w:sz w:val="44"/>
          <w:szCs w:val="44"/>
          <w:lang w:val="en-US" w:eastAsia="zh-CN"/>
        </w:rPr>
        <w:t>一</w:t>
      </w:r>
    </w:p>
    <w:p>
      <w:pPr>
        <w:jc w:val="center"/>
        <w:rPr>
          <w:rFonts w:eastAsia="黑体"/>
          <w:color w:val="auto"/>
          <w:sz w:val="44"/>
          <w:szCs w:val="44"/>
        </w:rPr>
      </w:pPr>
      <w:r>
        <w:rPr>
          <w:rFonts w:eastAsia="黑体"/>
          <w:color w:val="auto"/>
          <w:sz w:val="44"/>
          <w:szCs w:val="44"/>
        </w:rPr>
        <w:t>（</w:t>
      </w:r>
      <w:r>
        <w:rPr>
          <w:rFonts w:hint="eastAsia" w:eastAsia="黑体"/>
          <w:color w:val="auto"/>
          <w:sz w:val="44"/>
          <w:szCs w:val="44"/>
          <w:lang w:val="en-US" w:eastAsia="zh-CN"/>
        </w:rPr>
        <w:t>资信证明</w:t>
      </w:r>
      <w:r>
        <w:rPr>
          <w:rFonts w:eastAsia="黑体"/>
          <w:color w:val="auto"/>
          <w:sz w:val="44"/>
          <w:szCs w:val="44"/>
        </w:rPr>
        <w:t>文件）</w:t>
      </w:r>
    </w:p>
    <w:p>
      <w:pPr>
        <w:rPr>
          <w:rFonts w:eastAsia="黑体"/>
          <w:color w:val="auto"/>
          <w:sz w:val="28"/>
          <w:szCs w:val="28"/>
        </w:rPr>
      </w:pPr>
    </w:p>
    <w:p>
      <w:pPr>
        <w:rPr>
          <w:rFonts w:eastAsia="黑体"/>
          <w:color w:val="auto"/>
          <w:sz w:val="28"/>
          <w:szCs w:val="28"/>
        </w:rPr>
      </w:pPr>
    </w:p>
    <w:p>
      <w:pPr>
        <w:rPr>
          <w:rFonts w:eastAsia="黑体"/>
          <w:color w:val="auto"/>
          <w:sz w:val="28"/>
          <w:szCs w:val="28"/>
        </w:rPr>
      </w:pPr>
    </w:p>
    <w:p>
      <w:pPr>
        <w:rPr>
          <w:rFonts w:eastAsia="黑体"/>
          <w:color w:val="auto"/>
          <w:sz w:val="28"/>
          <w:szCs w:val="28"/>
        </w:rPr>
      </w:pPr>
    </w:p>
    <w:p>
      <w:pPr>
        <w:rPr>
          <w:rFonts w:eastAsia="黑体"/>
          <w:color w:val="auto"/>
          <w:sz w:val="28"/>
          <w:szCs w:val="28"/>
        </w:rPr>
      </w:pPr>
    </w:p>
    <w:p>
      <w:pPr>
        <w:rPr>
          <w:rFonts w:eastAsia="黑体"/>
          <w:color w:val="auto"/>
          <w:sz w:val="28"/>
          <w:szCs w:val="28"/>
        </w:rPr>
      </w:pPr>
    </w:p>
    <w:p>
      <w:pPr>
        <w:rPr>
          <w:rFonts w:eastAsia="黑体"/>
          <w:color w:val="auto"/>
          <w:sz w:val="28"/>
          <w:szCs w:val="28"/>
        </w:rPr>
      </w:pPr>
    </w:p>
    <w:p>
      <w:pPr>
        <w:rPr>
          <w:rFonts w:eastAsia="黑体"/>
          <w:color w:val="auto"/>
          <w:sz w:val="28"/>
          <w:szCs w:val="28"/>
        </w:rPr>
      </w:pPr>
    </w:p>
    <w:p>
      <w:pPr>
        <w:rPr>
          <w:rFonts w:eastAsia="黑体"/>
          <w:color w:val="auto"/>
          <w:sz w:val="28"/>
          <w:szCs w:val="28"/>
        </w:rPr>
      </w:pPr>
    </w:p>
    <w:p>
      <w:pPr>
        <w:rPr>
          <w:rFonts w:eastAsia="黑体"/>
          <w:color w:val="auto"/>
          <w:sz w:val="28"/>
          <w:szCs w:val="28"/>
        </w:rPr>
      </w:pPr>
    </w:p>
    <w:p>
      <w:pPr>
        <w:jc w:val="center"/>
        <w:rPr>
          <w:rFonts w:eastAsia="黑体"/>
          <w:color w:val="auto"/>
          <w:sz w:val="28"/>
          <w:szCs w:val="28"/>
          <w:u w:val="single"/>
        </w:rPr>
      </w:pPr>
      <w:r>
        <w:rPr>
          <w:rFonts w:eastAsia="黑体"/>
          <w:color w:val="auto"/>
          <w:sz w:val="28"/>
          <w:szCs w:val="28"/>
        </w:rPr>
        <w:t>投标人：</w:t>
      </w:r>
      <w:r>
        <w:rPr>
          <w:rFonts w:eastAsia="黑体"/>
          <w:color w:val="auto"/>
          <w:sz w:val="28"/>
          <w:szCs w:val="28"/>
          <w:u w:val="single"/>
        </w:rPr>
        <w:t xml:space="preserve">                              </w:t>
      </w:r>
      <w:r>
        <w:rPr>
          <w:rFonts w:eastAsia="黑体"/>
          <w:color w:val="auto"/>
          <w:sz w:val="28"/>
          <w:szCs w:val="28"/>
        </w:rPr>
        <w:t>（</w:t>
      </w:r>
      <w:r>
        <w:rPr>
          <w:rFonts w:hint="eastAsia" w:eastAsia="黑体"/>
          <w:color w:val="auto"/>
          <w:sz w:val="28"/>
          <w:szCs w:val="28"/>
          <w:lang w:val="en-US" w:eastAsia="zh-CN"/>
        </w:rPr>
        <w:t>盖章</w:t>
      </w:r>
      <w:r>
        <w:rPr>
          <w:rFonts w:eastAsia="黑体"/>
          <w:color w:val="auto"/>
          <w:sz w:val="28"/>
          <w:szCs w:val="28"/>
        </w:rPr>
        <w:t>）</w:t>
      </w:r>
    </w:p>
    <w:p>
      <w:pPr>
        <w:jc w:val="center"/>
        <w:rPr>
          <w:rFonts w:eastAsia="黑体"/>
          <w:color w:val="auto"/>
          <w:sz w:val="28"/>
          <w:szCs w:val="28"/>
        </w:rPr>
      </w:pPr>
      <w:r>
        <w:rPr>
          <w:rFonts w:eastAsia="黑体"/>
          <w:color w:val="auto"/>
          <w:sz w:val="28"/>
          <w:szCs w:val="28"/>
        </w:rPr>
        <w:t>法定代表人：</w:t>
      </w:r>
      <w:r>
        <w:rPr>
          <w:rFonts w:eastAsia="黑体"/>
          <w:color w:val="auto"/>
          <w:sz w:val="28"/>
          <w:szCs w:val="28"/>
          <w:u w:val="single"/>
        </w:rPr>
        <w:t xml:space="preserve">                </w:t>
      </w:r>
      <w:r>
        <w:rPr>
          <w:rFonts w:eastAsia="黑体"/>
          <w:color w:val="auto"/>
          <w:sz w:val="28"/>
          <w:szCs w:val="28"/>
        </w:rPr>
        <w:t>（签</w:t>
      </w:r>
      <w:r>
        <w:rPr>
          <w:rFonts w:hint="eastAsia" w:eastAsia="黑体"/>
          <w:color w:val="auto"/>
          <w:sz w:val="28"/>
          <w:szCs w:val="28"/>
          <w:lang w:val="en-US" w:eastAsia="zh-CN"/>
        </w:rPr>
        <w:t>字或盖章</w:t>
      </w:r>
      <w:r>
        <w:rPr>
          <w:rFonts w:eastAsia="黑体"/>
          <w:color w:val="auto"/>
          <w:sz w:val="28"/>
          <w:szCs w:val="28"/>
        </w:rPr>
        <w:t>）</w:t>
      </w:r>
    </w:p>
    <w:p>
      <w:pPr>
        <w:jc w:val="center"/>
        <w:rPr>
          <w:b/>
          <w:color w:val="auto"/>
          <w:sz w:val="28"/>
          <w:szCs w:val="28"/>
        </w:rPr>
        <w:sectPr>
          <w:pgSz w:w="11906" w:h="16838"/>
          <w:pgMar w:top="1440" w:right="1800" w:bottom="1440" w:left="1800" w:header="851" w:footer="992" w:gutter="0"/>
          <w:cols w:space="720" w:num="1"/>
          <w:docGrid w:type="lines" w:linePitch="312" w:charSpace="0"/>
        </w:sectPr>
      </w:pPr>
      <w:r>
        <w:rPr>
          <w:rFonts w:eastAsia="黑体"/>
          <w:color w:val="auto"/>
          <w:sz w:val="28"/>
          <w:szCs w:val="28"/>
          <w:u w:val="single"/>
        </w:rPr>
        <w:t xml:space="preserve">        </w:t>
      </w:r>
      <w:r>
        <w:rPr>
          <w:rFonts w:eastAsia="黑体"/>
          <w:color w:val="auto"/>
          <w:sz w:val="28"/>
          <w:szCs w:val="28"/>
        </w:rPr>
        <w:t>年</w:t>
      </w:r>
      <w:r>
        <w:rPr>
          <w:rFonts w:eastAsia="黑体"/>
          <w:color w:val="auto"/>
          <w:sz w:val="28"/>
          <w:szCs w:val="28"/>
          <w:u w:val="single"/>
        </w:rPr>
        <w:t xml:space="preserve">        </w:t>
      </w:r>
      <w:r>
        <w:rPr>
          <w:rFonts w:eastAsia="黑体"/>
          <w:color w:val="auto"/>
          <w:sz w:val="28"/>
          <w:szCs w:val="28"/>
        </w:rPr>
        <w:t>月</w:t>
      </w:r>
      <w:r>
        <w:rPr>
          <w:rFonts w:eastAsia="黑体"/>
          <w:color w:val="auto"/>
          <w:sz w:val="28"/>
          <w:szCs w:val="28"/>
          <w:u w:val="single"/>
        </w:rPr>
        <w:t xml:space="preserve">        </w:t>
      </w:r>
      <w:r>
        <w:rPr>
          <w:rFonts w:eastAsia="黑体"/>
          <w:color w:val="auto"/>
          <w:sz w:val="28"/>
          <w:szCs w:val="28"/>
        </w:rPr>
        <w:t>日</w:t>
      </w:r>
    </w:p>
    <w:p>
      <w:pPr>
        <w:spacing w:line="480" w:lineRule="auto"/>
        <w:ind w:right="980" w:firstLine="602" w:firstLineChars="200"/>
        <w:jc w:val="center"/>
        <w:rPr>
          <w:rFonts w:ascii="仿宋" w:hAnsi="仿宋" w:eastAsia="仿宋" w:cs="仿宋"/>
          <w:b/>
          <w:bCs/>
          <w:color w:val="auto"/>
          <w:kern w:val="0"/>
          <w:sz w:val="30"/>
          <w:szCs w:val="30"/>
        </w:rPr>
      </w:pPr>
      <w:r>
        <w:rPr>
          <w:rFonts w:hint="eastAsia" w:ascii="仿宋" w:hAnsi="仿宋" w:eastAsia="仿宋" w:cs="仿宋"/>
          <w:b/>
          <w:bCs/>
          <w:color w:val="auto"/>
          <w:kern w:val="0"/>
          <w:sz w:val="30"/>
          <w:szCs w:val="30"/>
        </w:rPr>
        <w:t>目录</w:t>
      </w:r>
    </w:p>
    <w:p>
      <w:pPr>
        <w:spacing w:line="440" w:lineRule="exact"/>
        <w:ind w:firstLine="420" w:firstLineChars="200"/>
        <w:jc w:val="left"/>
        <w:rPr>
          <w:rFonts w:hint="eastAsia" w:ascii="宋体" w:hAnsi="宋体" w:cs="宋体"/>
          <w:color w:val="auto"/>
          <w:szCs w:val="21"/>
        </w:rPr>
      </w:pPr>
      <w:r>
        <w:rPr>
          <w:rFonts w:hint="eastAsia" w:ascii="宋体" w:hAnsi="宋体" w:cs="宋体"/>
          <w:color w:val="auto"/>
          <w:szCs w:val="21"/>
        </w:rPr>
        <w:t>（1）法定代表人身份证明文件和本人有效身份证(或法定代表人授权委托书和委托代理人有效身份证)；</w:t>
      </w:r>
    </w:p>
    <w:p>
      <w:pPr>
        <w:spacing w:line="440" w:lineRule="exact"/>
        <w:ind w:firstLine="420" w:firstLineChars="200"/>
        <w:jc w:val="left"/>
        <w:rPr>
          <w:rFonts w:hint="eastAsia" w:ascii="宋体" w:hAnsi="宋体" w:cs="宋体"/>
          <w:color w:val="auto"/>
          <w:szCs w:val="21"/>
        </w:rPr>
      </w:pPr>
      <w:r>
        <w:rPr>
          <w:rFonts w:hint="eastAsia" w:ascii="宋体" w:hAnsi="宋体" w:cs="宋体"/>
          <w:color w:val="auto"/>
          <w:szCs w:val="21"/>
        </w:rPr>
        <w:t>（2）诚信投标承诺书（格式见附件）；</w:t>
      </w:r>
    </w:p>
    <w:p>
      <w:pPr>
        <w:spacing w:line="440" w:lineRule="exact"/>
        <w:ind w:firstLine="420" w:firstLineChars="200"/>
        <w:jc w:val="left"/>
        <w:rPr>
          <w:rFonts w:hint="eastAsia" w:ascii="宋体" w:hAnsi="宋体" w:cs="宋体"/>
          <w:color w:val="auto"/>
          <w:szCs w:val="21"/>
        </w:rPr>
      </w:pPr>
      <w:r>
        <w:rPr>
          <w:rFonts w:hint="eastAsia" w:ascii="宋体" w:hAnsi="宋体" w:cs="宋体"/>
          <w:color w:val="auto"/>
          <w:szCs w:val="21"/>
        </w:rPr>
        <w:t>（3）</w:t>
      </w:r>
      <w:r>
        <w:rPr>
          <w:rFonts w:hint="eastAsia" w:ascii="宋体" w:hAnsi="宋体"/>
          <w:color w:val="auto"/>
          <w:szCs w:val="21"/>
        </w:rPr>
        <w:t>企业营业执照（或三证合一的有效证件）</w:t>
      </w:r>
      <w:r>
        <w:rPr>
          <w:rFonts w:hint="eastAsia" w:ascii="宋体" w:hAnsi="宋体" w:cs="宋体"/>
          <w:color w:val="auto"/>
          <w:szCs w:val="21"/>
        </w:rPr>
        <w:t>；</w:t>
      </w:r>
    </w:p>
    <w:p>
      <w:pPr>
        <w:spacing w:line="440" w:lineRule="exact"/>
        <w:ind w:firstLine="420" w:firstLineChars="200"/>
        <w:jc w:val="left"/>
        <w:rPr>
          <w:rFonts w:hint="eastAsia" w:ascii="宋体" w:hAnsi="宋体" w:cs="宋体"/>
          <w:color w:val="auto"/>
          <w:spacing w:val="-1"/>
          <w:szCs w:val="21"/>
        </w:rPr>
      </w:pPr>
      <w:r>
        <w:rPr>
          <w:rFonts w:hint="eastAsia" w:ascii="宋体" w:hAnsi="宋体" w:cs="宋体"/>
          <w:color w:val="auto"/>
          <w:szCs w:val="21"/>
        </w:rPr>
        <w:t>（5）拟派项目负责人有效身份证及资质要求的相关证书</w:t>
      </w:r>
      <w:r>
        <w:rPr>
          <w:rFonts w:hint="eastAsia" w:ascii="宋体" w:hAnsi="宋体" w:cs="宋体"/>
          <w:color w:val="auto"/>
          <w:spacing w:val="-1"/>
          <w:szCs w:val="21"/>
        </w:rPr>
        <w:t>；</w:t>
      </w:r>
    </w:p>
    <w:p>
      <w:pPr>
        <w:spacing w:line="440" w:lineRule="exact"/>
        <w:ind w:firstLine="420" w:firstLineChars="200"/>
        <w:jc w:val="left"/>
        <w:rPr>
          <w:rFonts w:hint="eastAsia" w:ascii="宋体" w:hAnsi="宋体" w:cs="宋体"/>
          <w:color w:val="auto"/>
          <w:szCs w:val="21"/>
        </w:rPr>
      </w:pPr>
      <w:r>
        <w:rPr>
          <w:rFonts w:hint="eastAsia" w:ascii="宋体" w:hAnsi="宋体" w:cs="宋体"/>
          <w:color w:val="auto"/>
          <w:szCs w:val="21"/>
        </w:rPr>
        <w:t>（</w:t>
      </w:r>
      <w:r>
        <w:rPr>
          <w:rFonts w:hint="eastAsia" w:ascii="宋体" w:hAnsi="宋体" w:cs="宋体"/>
          <w:color w:val="auto"/>
          <w:szCs w:val="21"/>
          <w:lang w:val="en-US" w:eastAsia="zh-CN"/>
        </w:rPr>
        <w:t>6</w:t>
      </w:r>
      <w:r>
        <w:rPr>
          <w:rFonts w:hint="eastAsia" w:ascii="宋体" w:hAnsi="宋体" w:cs="宋体"/>
          <w:color w:val="auto"/>
          <w:szCs w:val="21"/>
        </w:rPr>
        <w:t>）投标人的法定代表人(或委托代理人)和拟任项目负责人（总监理工程师）须持有社保部门出具的本单位为其缴纳的投标前近</w:t>
      </w:r>
      <w:r>
        <w:rPr>
          <w:rFonts w:hint="eastAsia" w:ascii="宋体" w:hAnsi="宋体" w:cs="宋体"/>
          <w:color w:val="auto"/>
          <w:szCs w:val="21"/>
          <w:lang w:eastAsia="zh-CN"/>
        </w:rPr>
        <w:t>六个月连续的养老保险证明</w:t>
      </w:r>
      <w:r>
        <w:rPr>
          <w:rFonts w:hint="eastAsia" w:ascii="宋体" w:hAnsi="宋体" w:cs="宋体"/>
          <w:color w:val="auto"/>
          <w:szCs w:val="21"/>
        </w:rPr>
        <w:t>（或官网在线打印件，证明文件两个月内有效）（同一人担任不同公司法定代表人的，该法定代表人参加本项目投标时须提供本人在其他公司任法定代表人的营业执照及为其缴纳养老保险证明材料），投标人是事业单位的，暂未缴纳社保的，须由其主管部门出具证明；</w:t>
      </w:r>
    </w:p>
    <w:p>
      <w:pPr>
        <w:spacing w:line="440" w:lineRule="exact"/>
        <w:ind w:firstLine="420" w:firstLineChars="200"/>
        <w:jc w:val="left"/>
        <w:rPr>
          <w:rFonts w:hint="eastAsia" w:ascii="宋体" w:hAnsi="宋体" w:eastAsia="宋体" w:cs="宋体"/>
          <w:color w:val="auto"/>
          <w:szCs w:val="21"/>
          <w:lang w:val="en-US" w:eastAsia="zh-CN"/>
        </w:rPr>
      </w:pPr>
      <w:r>
        <w:rPr>
          <w:rFonts w:hint="eastAsia" w:ascii="宋体" w:hAnsi="宋体" w:cs="宋体"/>
          <w:color w:val="auto"/>
          <w:szCs w:val="21"/>
        </w:rPr>
        <w:t>（</w:t>
      </w:r>
      <w:r>
        <w:rPr>
          <w:rFonts w:hint="eastAsia" w:ascii="宋体" w:hAnsi="宋体" w:cs="宋体"/>
          <w:color w:val="auto"/>
          <w:szCs w:val="21"/>
          <w:lang w:val="en-US" w:eastAsia="zh-CN"/>
        </w:rPr>
        <w:t>7</w:t>
      </w:r>
      <w:r>
        <w:rPr>
          <w:rFonts w:hint="eastAsia" w:ascii="宋体" w:hAnsi="宋体" w:cs="宋体"/>
          <w:color w:val="auto"/>
          <w:szCs w:val="21"/>
        </w:rPr>
        <w:t>）</w:t>
      </w:r>
      <w:r>
        <w:rPr>
          <w:rFonts w:hint="eastAsia" w:ascii="宋体" w:hAnsi="宋体" w:eastAsia="宋体" w:cs="宋体"/>
          <w:color w:val="auto"/>
          <w:szCs w:val="21"/>
          <w:lang w:val="en-US" w:eastAsia="zh-CN"/>
        </w:rPr>
        <w:t>项目组成员注册证书复印件加盖投标人公章和证明专业的证明材料；</w:t>
      </w:r>
    </w:p>
    <w:p>
      <w:pPr>
        <w:spacing w:line="440" w:lineRule="exact"/>
        <w:ind w:firstLine="420" w:firstLineChars="200"/>
        <w:jc w:val="left"/>
        <w:rPr>
          <w:rFonts w:hint="eastAsia" w:ascii="宋体" w:hAnsi="宋体" w:cs="宋体"/>
          <w:color w:val="auto"/>
          <w:szCs w:val="21"/>
        </w:rPr>
      </w:pPr>
      <w:r>
        <w:rPr>
          <w:rFonts w:hint="eastAsia" w:ascii="宋体" w:hAnsi="宋体" w:eastAsia="宋体" w:cs="宋体"/>
          <w:color w:val="auto"/>
          <w:szCs w:val="21"/>
          <w:lang w:val="en-US" w:eastAsia="zh-CN"/>
        </w:rPr>
        <w:t>（</w:t>
      </w:r>
      <w:r>
        <w:rPr>
          <w:rFonts w:hint="eastAsia" w:ascii="宋体" w:hAnsi="宋体" w:cs="宋体"/>
          <w:color w:val="auto"/>
          <w:szCs w:val="21"/>
          <w:lang w:val="en-US" w:eastAsia="zh-CN"/>
        </w:rPr>
        <w:t>8</w:t>
      </w:r>
      <w:r>
        <w:rPr>
          <w:rFonts w:hint="eastAsia" w:ascii="宋体" w:hAnsi="宋体" w:cs="宋体"/>
          <w:color w:val="auto"/>
          <w:szCs w:val="21"/>
        </w:rPr>
        <w:t>投标人认为需要提供的其它证明材料。</w:t>
      </w:r>
    </w:p>
    <w:p>
      <w:pPr>
        <w:spacing w:line="500" w:lineRule="exact"/>
        <w:jc w:val="left"/>
        <w:rPr>
          <w:rFonts w:ascii="仿宋" w:hAnsi="仿宋" w:eastAsia="仿宋" w:cs="仿宋"/>
          <w:b/>
          <w:color w:val="auto"/>
          <w:sz w:val="28"/>
          <w:szCs w:val="28"/>
        </w:rPr>
      </w:pPr>
      <w:r>
        <w:rPr>
          <w:rFonts w:hint="eastAsia" w:ascii="宋体" w:hAnsi="宋体" w:cs="宋体"/>
          <w:b/>
          <w:color w:val="auto"/>
          <w:sz w:val="24"/>
          <w:szCs w:val="24"/>
        </w:rPr>
        <w:t>以上材料须提供原件或复印件加盖投标人公章，否则按无效标处理。</w:t>
      </w:r>
      <w:r>
        <w:rPr>
          <w:rFonts w:ascii="仿宋" w:hAnsi="仿宋" w:eastAsia="仿宋" w:cs="仿宋"/>
          <w:b/>
          <w:color w:val="auto"/>
          <w:sz w:val="28"/>
          <w:szCs w:val="28"/>
        </w:rPr>
        <w:br w:type="page"/>
      </w:r>
    </w:p>
    <w:p>
      <w:pPr>
        <w:jc w:val="center"/>
        <w:rPr>
          <w:rFonts w:ascii="仿宋" w:hAnsi="仿宋" w:eastAsia="仿宋" w:cs="仿宋"/>
          <w:color w:val="auto"/>
          <w:sz w:val="32"/>
          <w:szCs w:val="32"/>
        </w:rPr>
      </w:pPr>
      <w:r>
        <w:rPr>
          <w:rFonts w:hint="eastAsia" w:ascii="仿宋" w:hAnsi="仿宋" w:eastAsia="仿宋" w:cs="仿宋"/>
          <w:b/>
          <w:color w:val="auto"/>
          <w:sz w:val="28"/>
          <w:szCs w:val="28"/>
        </w:rPr>
        <w:t>法定代表人身份证明或授权委托书</w:t>
      </w:r>
    </w:p>
    <w:p>
      <w:pPr>
        <w:pStyle w:val="145"/>
        <w:spacing w:before="318" w:beforeLines="100" w:after="318" w:afterLines="100" w:line="480" w:lineRule="exact"/>
        <w:ind w:firstLine="180" w:firstLineChars="75"/>
        <w:rPr>
          <w:rFonts w:ascii="宋体" w:hAnsi="宋体" w:cs="宋体"/>
          <w:b/>
          <w:color w:val="auto"/>
          <w:sz w:val="24"/>
          <w:szCs w:val="24"/>
        </w:rPr>
      </w:pPr>
      <w:bookmarkStart w:id="98" w:name="OLE_LINK13"/>
      <w:r>
        <w:rPr>
          <w:rFonts w:hint="eastAsia" w:ascii="宋体" w:hAnsi="宋体" w:cs="宋体"/>
          <w:color w:val="auto"/>
          <w:sz w:val="24"/>
          <w:szCs w:val="24"/>
        </w:rPr>
        <w:t>1、法定代表人身份证明</w:t>
      </w:r>
    </w:p>
    <w:p>
      <w:pPr>
        <w:spacing w:line="480" w:lineRule="exact"/>
        <w:ind w:firstLine="480" w:firstLineChars="200"/>
        <w:rPr>
          <w:rFonts w:ascii="宋体" w:hAnsi="宋体" w:cs="宋体"/>
          <w:color w:val="auto"/>
          <w:sz w:val="24"/>
        </w:rPr>
      </w:pPr>
      <w:r>
        <w:rPr>
          <w:rFonts w:hint="eastAsia" w:ascii="宋体" w:hAnsi="宋体" w:cs="宋体"/>
          <w:color w:val="auto"/>
          <w:sz w:val="24"/>
        </w:rPr>
        <w:t>投标人名称：</w:t>
      </w:r>
      <w:r>
        <w:rPr>
          <w:rFonts w:hint="eastAsia" w:ascii="宋体" w:hAnsi="宋体" w:cs="宋体"/>
          <w:color w:val="auto"/>
          <w:sz w:val="24"/>
          <w:u w:val="single"/>
        </w:rPr>
        <w:t xml:space="preserve">                                </w:t>
      </w:r>
      <w:r>
        <w:rPr>
          <w:rFonts w:hint="eastAsia" w:ascii="宋体" w:hAnsi="宋体" w:cs="宋体"/>
          <w:color w:val="auto"/>
          <w:sz w:val="24"/>
        </w:rPr>
        <w:t xml:space="preserve"> </w:t>
      </w:r>
    </w:p>
    <w:p>
      <w:pPr>
        <w:spacing w:line="480" w:lineRule="exact"/>
        <w:ind w:firstLine="480" w:firstLineChars="200"/>
        <w:rPr>
          <w:rFonts w:ascii="宋体" w:hAnsi="宋体" w:cs="宋体"/>
          <w:color w:val="auto"/>
          <w:sz w:val="24"/>
        </w:rPr>
      </w:pPr>
      <w:r>
        <w:rPr>
          <w:rFonts w:hint="eastAsia" w:ascii="宋体" w:hAnsi="宋体" w:cs="宋体"/>
          <w:color w:val="auto"/>
          <w:sz w:val="24"/>
        </w:rPr>
        <w:t xml:space="preserve">单位性质： </w:t>
      </w:r>
      <w:r>
        <w:rPr>
          <w:rFonts w:hint="eastAsia" w:ascii="宋体" w:hAnsi="宋体" w:cs="宋体"/>
          <w:color w:val="auto"/>
          <w:sz w:val="24"/>
          <w:u w:val="single"/>
        </w:rPr>
        <w:t xml:space="preserve">                                  </w:t>
      </w:r>
      <w:r>
        <w:rPr>
          <w:rFonts w:hint="eastAsia" w:ascii="宋体" w:hAnsi="宋体" w:cs="宋体"/>
          <w:color w:val="auto"/>
          <w:sz w:val="24"/>
        </w:rPr>
        <w:t xml:space="preserve"> </w:t>
      </w:r>
    </w:p>
    <w:p>
      <w:pPr>
        <w:spacing w:line="480" w:lineRule="exact"/>
        <w:ind w:firstLine="480" w:firstLineChars="200"/>
        <w:rPr>
          <w:rFonts w:ascii="宋体" w:hAnsi="宋体" w:cs="宋体"/>
          <w:color w:val="auto"/>
          <w:sz w:val="24"/>
        </w:rPr>
      </w:pPr>
      <w:r>
        <w:rPr>
          <w:rFonts w:hint="eastAsia" w:ascii="宋体" w:hAnsi="宋体" w:cs="宋体"/>
          <w:color w:val="auto"/>
          <w:sz w:val="24"/>
        </w:rPr>
        <w:t>地    址：</w:t>
      </w:r>
      <w:r>
        <w:rPr>
          <w:rFonts w:hint="eastAsia" w:ascii="宋体" w:hAnsi="宋体" w:cs="宋体"/>
          <w:color w:val="auto"/>
          <w:sz w:val="24"/>
          <w:u w:val="single"/>
        </w:rPr>
        <w:t xml:space="preserve">                                   </w:t>
      </w:r>
      <w:r>
        <w:rPr>
          <w:rFonts w:hint="eastAsia" w:ascii="宋体" w:hAnsi="宋体" w:cs="宋体"/>
          <w:color w:val="auto"/>
          <w:sz w:val="24"/>
        </w:rPr>
        <w:t xml:space="preserve"> </w:t>
      </w:r>
    </w:p>
    <w:p>
      <w:pPr>
        <w:spacing w:line="480" w:lineRule="exact"/>
        <w:ind w:firstLine="480" w:firstLineChars="200"/>
        <w:rPr>
          <w:rFonts w:ascii="宋体" w:hAnsi="宋体" w:cs="宋体"/>
          <w:color w:val="auto"/>
          <w:sz w:val="24"/>
        </w:rPr>
      </w:pPr>
      <w:r>
        <w:rPr>
          <w:rFonts w:hint="eastAsia" w:ascii="宋体" w:hAnsi="宋体" w:cs="宋体"/>
          <w:color w:val="auto"/>
          <w:sz w:val="24"/>
        </w:rPr>
        <w:t>成立时间：</w:t>
      </w:r>
      <w:r>
        <w:rPr>
          <w:rFonts w:hint="eastAsia" w:ascii="宋体" w:hAnsi="宋体" w:cs="宋体"/>
          <w:color w:val="auto"/>
          <w:sz w:val="24"/>
          <w:u w:val="single"/>
        </w:rPr>
        <w:t xml:space="preserve">        </w:t>
      </w:r>
      <w:r>
        <w:rPr>
          <w:rFonts w:hint="eastAsia" w:ascii="宋体" w:hAnsi="宋体" w:cs="宋体"/>
          <w:color w:val="auto"/>
          <w:sz w:val="24"/>
        </w:rPr>
        <w:t>年</w:t>
      </w:r>
      <w:r>
        <w:rPr>
          <w:rFonts w:hint="eastAsia" w:ascii="宋体" w:hAnsi="宋体" w:cs="宋体"/>
          <w:color w:val="auto"/>
          <w:sz w:val="24"/>
          <w:u w:val="single"/>
        </w:rPr>
        <w:t xml:space="preserve">    </w:t>
      </w:r>
      <w:r>
        <w:rPr>
          <w:rFonts w:hint="eastAsia" w:ascii="宋体" w:hAnsi="宋体" w:cs="宋体"/>
          <w:color w:val="auto"/>
          <w:sz w:val="24"/>
        </w:rPr>
        <w:t>月</w:t>
      </w:r>
      <w:r>
        <w:rPr>
          <w:rFonts w:hint="eastAsia" w:ascii="宋体" w:hAnsi="宋体" w:cs="宋体"/>
          <w:color w:val="auto"/>
          <w:sz w:val="24"/>
          <w:u w:val="single"/>
        </w:rPr>
        <w:t xml:space="preserve">    </w:t>
      </w:r>
      <w:r>
        <w:rPr>
          <w:rFonts w:hint="eastAsia" w:ascii="宋体" w:hAnsi="宋体" w:cs="宋体"/>
          <w:color w:val="auto"/>
          <w:sz w:val="24"/>
        </w:rPr>
        <w:t>日</w:t>
      </w:r>
    </w:p>
    <w:p>
      <w:pPr>
        <w:spacing w:line="480" w:lineRule="exact"/>
        <w:ind w:firstLine="480" w:firstLineChars="200"/>
        <w:rPr>
          <w:rFonts w:ascii="宋体" w:hAnsi="宋体" w:cs="宋体"/>
          <w:color w:val="auto"/>
          <w:sz w:val="24"/>
        </w:rPr>
      </w:pPr>
      <w:r>
        <w:rPr>
          <w:rFonts w:hint="eastAsia" w:ascii="宋体" w:hAnsi="宋体" w:cs="宋体"/>
          <w:color w:val="auto"/>
          <w:sz w:val="24"/>
        </w:rPr>
        <w:t>经营期限：</w:t>
      </w:r>
      <w:r>
        <w:rPr>
          <w:rFonts w:hint="eastAsia" w:ascii="宋体" w:hAnsi="宋体" w:cs="宋体"/>
          <w:color w:val="auto"/>
          <w:sz w:val="24"/>
          <w:u w:val="single"/>
        </w:rPr>
        <w:t xml:space="preserve">                                </w:t>
      </w:r>
      <w:r>
        <w:rPr>
          <w:rFonts w:hint="eastAsia" w:ascii="宋体" w:hAnsi="宋体" w:cs="宋体"/>
          <w:color w:val="auto"/>
          <w:sz w:val="24"/>
        </w:rPr>
        <w:t xml:space="preserve"> </w:t>
      </w:r>
    </w:p>
    <w:p>
      <w:pPr>
        <w:spacing w:line="480" w:lineRule="exact"/>
        <w:ind w:firstLine="1440" w:firstLineChars="200"/>
        <w:rPr>
          <w:rFonts w:ascii="宋体" w:hAnsi="宋体" w:cs="宋体"/>
          <w:color w:val="auto"/>
          <w:sz w:val="24"/>
        </w:rPr>
      </w:pPr>
      <w:r>
        <w:rPr>
          <w:rFonts w:hint="eastAsia" w:ascii="宋体" w:hAnsi="宋体" w:cs="宋体"/>
          <w:color w:val="auto"/>
          <w:spacing w:val="240"/>
          <w:sz w:val="24"/>
        </w:rPr>
        <w:t>姓</w:t>
      </w:r>
      <w:r>
        <w:rPr>
          <w:rFonts w:hint="eastAsia" w:ascii="宋体" w:hAnsi="宋体" w:cs="宋体"/>
          <w:color w:val="auto"/>
          <w:sz w:val="24"/>
        </w:rPr>
        <w:t>名：</w:t>
      </w:r>
      <w:r>
        <w:rPr>
          <w:rFonts w:hint="eastAsia" w:ascii="宋体" w:hAnsi="宋体" w:cs="宋体"/>
          <w:color w:val="auto"/>
          <w:sz w:val="24"/>
          <w:u w:val="single"/>
        </w:rPr>
        <w:t xml:space="preserve">           </w:t>
      </w:r>
      <w:r>
        <w:rPr>
          <w:rFonts w:hint="eastAsia" w:ascii="宋体" w:hAnsi="宋体" w:cs="宋体"/>
          <w:color w:val="auto"/>
          <w:sz w:val="24"/>
        </w:rPr>
        <w:t>性别：</w:t>
      </w:r>
      <w:r>
        <w:rPr>
          <w:rFonts w:hint="eastAsia" w:ascii="宋体" w:hAnsi="宋体" w:cs="宋体"/>
          <w:color w:val="auto"/>
          <w:sz w:val="24"/>
          <w:u w:val="single"/>
        </w:rPr>
        <w:t xml:space="preserve">        </w:t>
      </w:r>
      <w:r>
        <w:rPr>
          <w:rFonts w:hint="eastAsia" w:ascii="宋体" w:hAnsi="宋体" w:cs="宋体"/>
          <w:color w:val="auto"/>
          <w:sz w:val="24"/>
        </w:rPr>
        <w:t>年龄：</w:t>
      </w:r>
      <w:r>
        <w:rPr>
          <w:rFonts w:hint="eastAsia" w:ascii="宋体" w:hAnsi="宋体" w:cs="宋体"/>
          <w:color w:val="auto"/>
          <w:sz w:val="24"/>
          <w:u w:val="single"/>
        </w:rPr>
        <w:t xml:space="preserve">       </w:t>
      </w:r>
      <w:r>
        <w:rPr>
          <w:rFonts w:hint="eastAsia" w:ascii="宋体" w:hAnsi="宋体" w:cs="宋体"/>
          <w:color w:val="auto"/>
          <w:sz w:val="24"/>
        </w:rPr>
        <w:t>_职务：</w:t>
      </w:r>
      <w:r>
        <w:rPr>
          <w:rFonts w:hint="eastAsia" w:ascii="宋体" w:hAnsi="宋体" w:cs="宋体"/>
          <w:color w:val="auto"/>
          <w:sz w:val="24"/>
          <w:u w:val="single"/>
        </w:rPr>
        <w:t xml:space="preserve">       </w:t>
      </w:r>
    </w:p>
    <w:p>
      <w:pPr>
        <w:spacing w:line="480" w:lineRule="exact"/>
        <w:ind w:firstLine="480" w:firstLineChars="200"/>
        <w:rPr>
          <w:rFonts w:ascii="宋体" w:hAnsi="宋体" w:cs="宋体"/>
          <w:color w:val="auto"/>
          <w:sz w:val="24"/>
        </w:rPr>
      </w:pPr>
      <w:r>
        <w:rPr>
          <w:rFonts w:hint="eastAsia" w:ascii="宋体" w:hAnsi="宋体" w:cs="宋体"/>
          <w:color w:val="auto"/>
          <w:sz w:val="24"/>
        </w:rPr>
        <w:t>系</w:t>
      </w:r>
      <w:r>
        <w:rPr>
          <w:rFonts w:hint="eastAsia" w:ascii="宋体" w:hAnsi="宋体" w:cs="宋体"/>
          <w:color w:val="auto"/>
          <w:sz w:val="24"/>
          <w:u w:val="single"/>
        </w:rPr>
        <w:t xml:space="preserve">                                </w:t>
      </w:r>
      <w:r>
        <w:rPr>
          <w:rFonts w:hint="eastAsia" w:ascii="宋体" w:hAnsi="宋体" w:cs="宋体"/>
          <w:color w:val="auto"/>
          <w:sz w:val="24"/>
        </w:rPr>
        <w:t>（投标人名称）的法定代表人。</w:t>
      </w:r>
    </w:p>
    <w:p>
      <w:pPr>
        <w:spacing w:line="480" w:lineRule="exact"/>
        <w:ind w:firstLine="960" w:firstLineChars="400"/>
        <w:rPr>
          <w:rFonts w:ascii="宋体" w:hAnsi="宋体" w:cs="宋体"/>
          <w:color w:val="auto"/>
          <w:sz w:val="24"/>
        </w:rPr>
      </w:pPr>
      <w:r>
        <w:rPr>
          <w:rFonts w:hint="eastAsia" w:ascii="宋体" w:hAnsi="宋体" w:cs="宋体"/>
          <w:color w:val="auto"/>
          <w:sz w:val="24"/>
        </w:rPr>
        <w:t>特此证明。</w:t>
      </w:r>
    </w:p>
    <w:p>
      <w:pPr>
        <w:spacing w:line="360" w:lineRule="auto"/>
        <w:ind w:firstLine="3480" w:firstLineChars="1450"/>
        <w:rPr>
          <w:rFonts w:ascii="宋体" w:hAnsi="宋体" w:cs="宋体"/>
          <w:color w:val="auto"/>
          <w:sz w:val="24"/>
        </w:rPr>
      </w:pPr>
      <w:r>
        <w:rPr>
          <w:rFonts w:hint="eastAsia" w:ascii="宋体" w:hAnsi="宋体" w:cs="宋体"/>
          <w:color w:val="auto"/>
          <w:sz w:val="24"/>
        </w:rPr>
        <w:t>投标人：</w:t>
      </w:r>
      <w:r>
        <w:rPr>
          <w:rFonts w:hint="eastAsia" w:ascii="宋体" w:hAnsi="宋体" w:cs="宋体"/>
          <w:color w:val="auto"/>
          <w:sz w:val="24"/>
          <w:u w:val="single"/>
        </w:rPr>
        <w:t xml:space="preserve">                 </w:t>
      </w:r>
      <w:r>
        <w:rPr>
          <w:rFonts w:hint="eastAsia" w:ascii="宋体" w:hAnsi="宋体" w:cs="宋体"/>
          <w:color w:val="auto"/>
          <w:sz w:val="24"/>
        </w:rPr>
        <w:t>（盖单位章）</w:t>
      </w:r>
    </w:p>
    <w:p>
      <w:pPr>
        <w:spacing w:line="360" w:lineRule="auto"/>
        <w:rPr>
          <w:rFonts w:ascii="宋体" w:hAnsi="宋体" w:cs="宋体"/>
          <w:color w:val="auto"/>
          <w:sz w:val="24"/>
        </w:rPr>
      </w:pPr>
      <w:r>
        <w:rPr>
          <w:rFonts w:hint="eastAsia" w:ascii="宋体" w:hAnsi="宋体" w:cs="宋体"/>
          <w:color w:val="auto"/>
          <w:sz w:val="24"/>
        </w:rPr>
        <w:t xml:space="preserve">                                        年    月     日</w:t>
      </w:r>
      <w:bookmarkEnd w:id="98"/>
    </w:p>
    <w:p>
      <w:pPr>
        <w:pStyle w:val="2"/>
        <w:ind w:firstLine="560"/>
        <w:rPr>
          <w:color w:val="auto"/>
        </w:rPr>
      </w:pPr>
    </w:p>
    <w:p>
      <w:pPr>
        <w:spacing w:line="480" w:lineRule="auto"/>
        <w:jc w:val="center"/>
        <w:rPr>
          <w:rFonts w:ascii="宋体" w:hAnsi="宋体" w:cs="宋体"/>
          <w:color w:val="auto"/>
          <w:sz w:val="24"/>
          <w:szCs w:val="24"/>
        </w:rPr>
      </w:pPr>
      <w:r>
        <w:rPr>
          <w:rFonts w:hint="eastAsia" w:ascii="宋体" w:hAnsi="宋体" w:cs="宋体"/>
          <w:color w:val="auto"/>
          <w:sz w:val="24"/>
          <w:szCs w:val="24"/>
        </w:rPr>
        <w:t>2、授权委托书</w:t>
      </w:r>
    </w:p>
    <w:p>
      <w:pPr>
        <w:spacing w:line="480" w:lineRule="auto"/>
        <w:ind w:firstLine="480" w:firstLineChars="200"/>
        <w:rPr>
          <w:rFonts w:ascii="宋体" w:hAnsi="宋体" w:cs="宋体"/>
          <w:color w:val="auto"/>
          <w:sz w:val="24"/>
          <w:szCs w:val="24"/>
        </w:rPr>
      </w:pPr>
      <w:r>
        <w:rPr>
          <w:rFonts w:hint="eastAsia" w:ascii="宋体" w:hAnsi="宋体" w:cs="宋体"/>
          <w:color w:val="auto"/>
          <w:sz w:val="24"/>
          <w:szCs w:val="24"/>
        </w:rPr>
        <w:t>本授权委托书声明：我</w:t>
      </w:r>
      <w:r>
        <w:rPr>
          <w:rFonts w:hint="eastAsia" w:ascii="宋体" w:hAnsi="宋体" w:cs="宋体"/>
          <w:color w:val="auto"/>
          <w:sz w:val="24"/>
          <w:szCs w:val="24"/>
          <w:u w:val="single"/>
        </w:rPr>
        <w:t>（姓名）</w:t>
      </w:r>
      <w:r>
        <w:rPr>
          <w:rFonts w:hint="eastAsia" w:ascii="宋体" w:hAnsi="宋体" w:cs="宋体"/>
          <w:color w:val="auto"/>
          <w:sz w:val="24"/>
          <w:szCs w:val="24"/>
        </w:rPr>
        <w:t>系</w:t>
      </w:r>
      <w:r>
        <w:rPr>
          <w:rFonts w:hint="eastAsia" w:ascii="宋体" w:hAnsi="宋体" w:cs="宋体"/>
          <w:color w:val="auto"/>
          <w:sz w:val="24"/>
          <w:szCs w:val="24"/>
          <w:u w:val="single"/>
        </w:rPr>
        <w:t>（投标人名称）</w:t>
      </w:r>
      <w:r>
        <w:rPr>
          <w:rFonts w:hint="eastAsia" w:ascii="宋体" w:hAnsi="宋体" w:cs="宋体"/>
          <w:color w:val="auto"/>
          <w:sz w:val="24"/>
          <w:szCs w:val="24"/>
        </w:rPr>
        <w:t>的法定代表人，现授权委托</w:t>
      </w:r>
      <w:r>
        <w:rPr>
          <w:rFonts w:hint="eastAsia" w:ascii="宋体" w:hAnsi="宋体" w:cs="宋体"/>
          <w:color w:val="auto"/>
          <w:sz w:val="24"/>
          <w:szCs w:val="24"/>
          <w:u w:val="single"/>
        </w:rPr>
        <w:t>（单位名称）</w:t>
      </w:r>
      <w:r>
        <w:rPr>
          <w:rFonts w:hint="eastAsia" w:ascii="宋体" w:hAnsi="宋体" w:cs="宋体"/>
          <w:color w:val="auto"/>
          <w:sz w:val="24"/>
          <w:szCs w:val="24"/>
        </w:rPr>
        <w:t>的</w:t>
      </w:r>
      <w:r>
        <w:rPr>
          <w:rFonts w:hint="eastAsia" w:ascii="宋体" w:hAnsi="宋体" w:cs="宋体"/>
          <w:color w:val="auto"/>
          <w:sz w:val="24"/>
          <w:szCs w:val="24"/>
          <w:u w:val="single"/>
        </w:rPr>
        <w:t>（姓名）</w:t>
      </w:r>
      <w:r>
        <w:rPr>
          <w:rFonts w:hint="eastAsia" w:ascii="宋体" w:hAnsi="宋体" w:cs="宋体"/>
          <w:color w:val="auto"/>
          <w:sz w:val="24"/>
          <w:szCs w:val="24"/>
        </w:rPr>
        <w:t>为我公司法定代表人授权委托代理人，参加</w:t>
      </w:r>
      <w:r>
        <w:rPr>
          <w:rFonts w:hint="eastAsia" w:ascii="宋体" w:hAnsi="宋体" w:cs="宋体"/>
          <w:color w:val="auto"/>
          <w:sz w:val="24"/>
          <w:szCs w:val="24"/>
          <w:u w:val="single"/>
        </w:rPr>
        <w:t>招标人</w:t>
      </w:r>
      <w:r>
        <w:rPr>
          <w:rFonts w:hint="eastAsia" w:ascii="宋体" w:hAnsi="宋体" w:cs="宋体"/>
          <w:color w:val="auto"/>
          <w:sz w:val="24"/>
          <w:szCs w:val="24"/>
        </w:rPr>
        <w:t>的</w:t>
      </w:r>
      <w:r>
        <w:rPr>
          <w:rFonts w:hint="eastAsia" w:ascii="宋体" w:hAnsi="宋体" w:cs="宋体"/>
          <w:color w:val="auto"/>
          <w:sz w:val="24"/>
          <w:szCs w:val="24"/>
          <w:u w:val="single"/>
        </w:rPr>
        <w:t xml:space="preserve">         </w:t>
      </w:r>
      <w:r>
        <w:rPr>
          <w:rFonts w:hint="eastAsia" w:ascii="宋体" w:hAnsi="宋体" w:cs="宋体"/>
          <w:color w:val="auto"/>
          <w:sz w:val="24"/>
          <w:szCs w:val="24"/>
        </w:rPr>
        <w:t>工程的投标活动。代理人在投标、开标、评标、合同谈判过程中所签署的一切文件和处理与之有关的一切事务，我均予以承认。</w:t>
      </w:r>
    </w:p>
    <w:p>
      <w:pPr>
        <w:spacing w:line="480" w:lineRule="auto"/>
        <w:ind w:firstLine="480" w:firstLineChars="200"/>
        <w:rPr>
          <w:rFonts w:ascii="宋体" w:hAnsi="宋体" w:cs="宋体"/>
          <w:color w:val="auto"/>
          <w:sz w:val="24"/>
          <w:szCs w:val="24"/>
        </w:rPr>
      </w:pPr>
      <w:r>
        <w:rPr>
          <w:rFonts w:hint="eastAsia" w:ascii="宋体" w:hAnsi="宋体" w:cs="宋体"/>
          <w:color w:val="auto"/>
          <w:sz w:val="24"/>
          <w:szCs w:val="24"/>
        </w:rPr>
        <w:t>代理人无转委托权，特此委托。</w:t>
      </w:r>
    </w:p>
    <w:p>
      <w:pPr>
        <w:spacing w:line="480" w:lineRule="auto"/>
        <w:ind w:firstLine="480" w:firstLineChars="200"/>
        <w:rPr>
          <w:rFonts w:ascii="宋体" w:hAnsi="宋体" w:cs="宋体"/>
          <w:color w:val="auto"/>
          <w:sz w:val="24"/>
          <w:szCs w:val="24"/>
        </w:rPr>
      </w:pPr>
      <w:r>
        <w:rPr>
          <w:rFonts w:hint="eastAsia" w:ascii="宋体" w:hAnsi="宋体" w:cs="宋体"/>
          <w:color w:val="auto"/>
          <w:sz w:val="24"/>
          <w:szCs w:val="24"/>
        </w:rPr>
        <w:t>附：法定代表人及授权委托人有效身份证复印件</w:t>
      </w:r>
    </w:p>
    <w:p>
      <w:pPr>
        <w:spacing w:line="480" w:lineRule="auto"/>
        <w:ind w:right="24" w:firstLine="4560" w:firstLineChars="1900"/>
        <w:rPr>
          <w:rFonts w:ascii="宋体" w:hAnsi="宋体" w:cs="宋体"/>
          <w:color w:val="auto"/>
          <w:sz w:val="24"/>
          <w:szCs w:val="24"/>
        </w:rPr>
      </w:pPr>
      <w:r>
        <w:rPr>
          <w:rFonts w:hint="eastAsia" w:ascii="宋体" w:hAnsi="宋体" w:cs="宋体"/>
          <w:color w:val="auto"/>
          <w:sz w:val="24"/>
          <w:szCs w:val="24"/>
        </w:rPr>
        <w:t>授权代理人：</w:t>
      </w:r>
      <w:r>
        <w:rPr>
          <w:rFonts w:hint="eastAsia" w:ascii="宋体" w:hAnsi="宋体" w:cs="宋体"/>
          <w:color w:val="auto"/>
          <w:sz w:val="24"/>
          <w:szCs w:val="24"/>
          <w:u w:val="single"/>
        </w:rPr>
        <w:t xml:space="preserve">   （签字或盖章）</w:t>
      </w:r>
    </w:p>
    <w:p>
      <w:pPr>
        <w:spacing w:line="480" w:lineRule="auto"/>
        <w:ind w:firstLine="5040" w:firstLineChars="2100"/>
        <w:rPr>
          <w:rFonts w:ascii="宋体" w:hAnsi="宋体" w:cs="宋体"/>
          <w:color w:val="auto"/>
          <w:sz w:val="24"/>
          <w:szCs w:val="24"/>
        </w:rPr>
      </w:pPr>
      <w:r>
        <w:rPr>
          <w:rFonts w:hint="eastAsia" w:ascii="宋体" w:hAnsi="宋体" w:cs="宋体"/>
          <w:color w:val="auto"/>
          <w:sz w:val="24"/>
          <w:szCs w:val="24"/>
        </w:rPr>
        <w:t>投标人：</w:t>
      </w:r>
      <w:r>
        <w:rPr>
          <w:rFonts w:hint="eastAsia" w:ascii="宋体" w:hAnsi="宋体" w:cs="宋体"/>
          <w:color w:val="auto"/>
          <w:sz w:val="24"/>
          <w:szCs w:val="24"/>
          <w:u w:val="single"/>
        </w:rPr>
        <w:t xml:space="preserve">         （盖章）</w:t>
      </w:r>
    </w:p>
    <w:p>
      <w:pPr>
        <w:spacing w:line="480" w:lineRule="auto"/>
        <w:ind w:right="204" w:firstLine="4560" w:firstLineChars="1900"/>
        <w:rPr>
          <w:rFonts w:ascii="宋体" w:hAnsi="宋体" w:cs="宋体"/>
          <w:color w:val="auto"/>
          <w:sz w:val="24"/>
          <w:szCs w:val="24"/>
        </w:rPr>
      </w:pPr>
      <w:r>
        <w:rPr>
          <w:rFonts w:hint="eastAsia" w:ascii="宋体" w:hAnsi="宋体" w:cs="宋体"/>
          <w:color w:val="auto"/>
          <w:sz w:val="24"/>
          <w:szCs w:val="24"/>
        </w:rPr>
        <w:t>法定代表人：</w:t>
      </w:r>
      <w:r>
        <w:rPr>
          <w:rFonts w:hint="eastAsia" w:ascii="宋体" w:hAnsi="宋体" w:cs="宋体"/>
          <w:color w:val="auto"/>
          <w:sz w:val="24"/>
          <w:szCs w:val="24"/>
          <w:u w:val="single"/>
        </w:rPr>
        <w:t xml:space="preserve">    （签字或盖章）</w:t>
      </w:r>
    </w:p>
    <w:p>
      <w:pPr>
        <w:spacing w:line="480" w:lineRule="auto"/>
        <w:ind w:right="980" w:firstLine="480" w:firstLineChars="200"/>
        <w:jc w:val="center"/>
        <w:rPr>
          <w:rFonts w:ascii="宋体" w:hAnsi="宋体" w:cs="宋体"/>
          <w:b/>
          <w:bCs/>
          <w:color w:val="auto"/>
          <w:kern w:val="0"/>
          <w:sz w:val="30"/>
          <w:szCs w:val="30"/>
        </w:rPr>
      </w:pPr>
      <w:r>
        <w:rPr>
          <w:rFonts w:hint="eastAsia" w:ascii="宋体" w:hAnsi="宋体" w:cs="宋体"/>
          <w:color w:val="auto"/>
          <w:sz w:val="24"/>
          <w:szCs w:val="24"/>
        </w:rPr>
        <w:t xml:space="preserve">                           日期：</w:t>
      </w:r>
      <w:r>
        <w:rPr>
          <w:rFonts w:hint="eastAsia" w:ascii="宋体" w:hAnsi="宋体" w:cs="宋体"/>
          <w:color w:val="auto"/>
          <w:sz w:val="24"/>
          <w:szCs w:val="24"/>
          <w:u w:val="single"/>
        </w:rPr>
        <w:t xml:space="preserve">      年     月     日</w:t>
      </w:r>
    </w:p>
    <w:p>
      <w:pPr>
        <w:rPr>
          <w:b/>
          <w:color w:val="auto"/>
          <w:sz w:val="28"/>
          <w:szCs w:val="28"/>
        </w:rPr>
      </w:pPr>
      <w:r>
        <w:rPr>
          <w:rFonts w:ascii="仿宋" w:hAnsi="仿宋" w:eastAsia="仿宋" w:cs="仿宋"/>
          <w:b/>
          <w:bCs/>
          <w:color w:val="auto"/>
          <w:kern w:val="0"/>
          <w:sz w:val="30"/>
          <w:szCs w:val="30"/>
        </w:rPr>
        <w:br w:type="page"/>
      </w:r>
    </w:p>
    <w:p>
      <w:pPr>
        <w:spacing w:line="360" w:lineRule="exact"/>
        <w:ind w:firstLine="443" w:firstLineChars="147"/>
        <w:rPr>
          <w:rFonts w:hint="eastAsia" w:ascii="宋体"/>
          <w:b/>
          <w:color w:val="auto"/>
          <w:sz w:val="30"/>
          <w:szCs w:val="30"/>
          <w:highlight w:val="none"/>
        </w:rPr>
      </w:pPr>
      <w:r>
        <w:rPr>
          <w:rFonts w:hint="eastAsia" w:ascii="宋体"/>
          <w:b/>
          <w:color w:val="auto"/>
          <w:sz w:val="30"/>
          <w:szCs w:val="30"/>
          <w:highlight w:val="none"/>
        </w:rPr>
        <w:t>附件2</w:t>
      </w:r>
    </w:p>
    <w:p>
      <w:pPr>
        <w:spacing w:line="360" w:lineRule="auto"/>
        <w:jc w:val="center"/>
        <w:rPr>
          <w:rFonts w:hint="eastAsia"/>
          <w:b/>
          <w:color w:val="auto"/>
          <w:sz w:val="28"/>
          <w:szCs w:val="28"/>
          <w:highlight w:val="none"/>
        </w:rPr>
      </w:pPr>
      <w:r>
        <w:rPr>
          <w:rFonts w:hint="eastAsia"/>
          <w:b/>
          <w:color w:val="auto"/>
          <w:sz w:val="28"/>
          <w:szCs w:val="28"/>
          <w:highlight w:val="none"/>
        </w:rPr>
        <w:t>诚信投标承诺书 </w:t>
      </w:r>
    </w:p>
    <w:p>
      <w:pPr>
        <w:spacing w:line="5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本人以企业法定代表人的身份郑重承诺：</w:t>
      </w:r>
    </w:p>
    <w:p>
      <w:pPr>
        <w:spacing w:line="5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一、将遵循公开、公正和诚实信用的原则自愿参加</w:t>
      </w:r>
      <w:r>
        <w:rPr>
          <w:rFonts w:hint="eastAsia" w:ascii="宋体" w:hAnsi="宋体"/>
          <w:color w:val="auto"/>
          <w:szCs w:val="21"/>
          <w:highlight w:val="none"/>
          <w:u w:val="single"/>
        </w:rPr>
        <w:t xml:space="preserve">                   </w:t>
      </w:r>
      <w:r>
        <w:rPr>
          <w:rFonts w:hint="eastAsia" w:ascii="宋体" w:hAnsi="宋体"/>
          <w:color w:val="auto"/>
          <w:szCs w:val="21"/>
          <w:highlight w:val="none"/>
        </w:rPr>
        <w:t>项目的投标，所提供的一切材料都是真实、有效、合法的；</w:t>
      </w:r>
    </w:p>
    <w:p>
      <w:pPr>
        <w:spacing w:line="500" w:lineRule="exact"/>
        <w:ind w:firstLine="420" w:firstLineChars="200"/>
        <w:rPr>
          <w:rFonts w:ascii="宋体" w:hAnsi="宋体"/>
          <w:color w:val="auto"/>
          <w:szCs w:val="21"/>
          <w:highlight w:val="none"/>
        </w:rPr>
      </w:pPr>
      <w:r>
        <w:rPr>
          <w:rFonts w:hint="eastAsia" w:ascii="宋体" w:hAnsi="宋体"/>
          <w:color w:val="auto"/>
          <w:szCs w:val="21"/>
          <w:highlight w:val="none"/>
        </w:rPr>
        <w:t>二、本单位郑重声明，根据《中华人民共和国政府采购法》及《中华人民共和国政府采购法实施条例》的规定，我公司具有良好的商业信誉和健全的财务会计制度，具有履行合同所必需的设备和专业技术能力，有依法缴纳税收和社会保障资金的良好记录；参加政府采购活动前三年内，本单位在经营活动中没有重大违法记录，没有因违法经营受到刑事处罚或者责令停产停业、吊销许可证或者执照、较大数额罚款等行政处罚。</w:t>
      </w:r>
    </w:p>
    <w:p>
      <w:pPr>
        <w:spacing w:line="5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三、不出借、转让资质证书，不让他人挂靠投标，不以他人名义投标或者以其他方式弄虚作假，骗取中标；</w:t>
      </w:r>
    </w:p>
    <w:p>
      <w:pPr>
        <w:spacing w:line="5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四、不与其他投标人相互串通投标报价，不排挤其他投标人的公平竞争、损害</w:t>
      </w:r>
      <w:r>
        <w:rPr>
          <w:rFonts w:hint="eastAsia" w:ascii="宋体" w:hAnsi="宋体"/>
          <w:color w:val="auto"/>
          <w:szCs w:val="21"/>
          <w:highlight w:val="none"/>
          <w:lang w:eastAsia="zh-CN"/>
        </w:rPr>
        <w:t>招标人</w:t>
      </w:r>
      <w:r>
        <w:rPr>
          <w:rFonts w:hint="eastAsia" w:ascii="宋体" w:hAnsi="宋体"/>
          <w:color w:val="auto"/>
          <w:szCs w:val="21"/>
          <w:highlight w:val="none"/>
        </w:rPr>
        <w:t>的合法权益；</w:t>
      </w:r>
    </w:p>
    <w:p>
      <w:pPr>
        <w:spacing w:line="5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五、不与</w:t>
      </w:r>
      <w:r>
        <w:rPr>
          <w:rFonts w:hint="eastAsia" w:ascii="宋体" w:hAnsi="宋体"/>
          <w:color w:val="auto"/>
          <w:szCs w:val="21"/>
          <w:highlight w:val="none"/>
          <w:lang w:eastAsia="zh-CN"/>
        </w:rPr>
        <w:t>招标人</w:t>
      </w:r>
      <w:r>
        <w:rPr>
          <w:rFonts w:hint="eastAsia" w:ascii="宋体" w:hAnsi="宋体"/>
          <w:color w:val="auto"/>
          <w:szCs w:val="21"/>
          <w:highlight w:val="none"/>
        </w:rPr>
        <w:t>、招标代理机构或其他投标人串通投标，损害国家利益、社会公共利益或者他人的合法权益；</w:t>
      </w:r>
    </w:p>
    <w:p>
      <w:pPr>
        <w:spacing w:line="5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六、我公司没有下列情形： 1、被人民法院列入失信被执行人的；2、我公司及其法定代表人、拟派项目经理（项目负责人）近三年被人民检察院列入行贿犯罪档案的；3、被市场监督管理部门列入经营异常名录或者严重违法企业名单的；4、被税收部门列入重大税收违法案件当事人的；5、被政府采购监管部门列入政府采购严重违法失信行为记录名单的；6、在“信用中国”网站上披露仍在公示期的严重失信行为的；7、被滁州市县两级行业主管部门及公管部门禁止在一定期限内参加政府采购活动且在禁止期限内的；8、被滁州市县两级公管部门记入不良行为记录或者信用信息记录，且在披露期内的；9、被人力资源社会保障行政部门列入拖欠农民工工资“黑名单”的；10、参与政府采购活动前3年在经营活动中有重大违法记录的。</w:t>
      </w:r>
    </w:p>
    <w:p>
      <w:pPr>
        <w:spacing w:line="5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七、严格遵守开标现场纪律，服从监管人员管理；</w:t>
      </w:r>
    </w:p>
    <w:p>
      <w:pPr>
        <w:spacing w:line="5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八、保证中标后不转包，若有分包征得</w:t>
      </w:r>
      <w:r>
        <w:rPr>
          <w:rFonts w:hint="eastAsia" w:ascii="宋体" w:hAnsi="宋体"/>
          <w:color w:val="auto"/>
          <w:szCs w:val="21"/>
          <w:highlight w:val="none"/>
          <w:lang w:eastAsia="zh-CN"/>
        </w:rPr>
        <w:t>招标人</w:t>
      </w:r>
      <w:r>
        <w:rPr>
          <w:rFonts w:hint="eastAsia" w:ascii="宋体" w:hAnsi="宋体"/>
          <w:color w:val="auto"/>
          <w:szCs w:val="21"/>
          <w:highlight w:val="none"/>
        </w:rPr>
        <w:t>同意；</w:t>
      </w:r>
    </w:p>
    <w:p>
      <w:pPr>
        <w:spacing w:line="5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九、保证中标之后，按照投标文件要求提供相关后续服务；</w:t>
      </w:r>
    </w:p>
    <w:p>
      <w:pPr>
        <w:spacing w:line="5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十、保证企业及所属相关人员在本次投标中无行贿等犯罪行为；</w:t>
      </w:r>
    </w:p>
    <w:p>
      <w:pPr>
        <w:spacing w:line="5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十一、如在投标过程和公示期间发生投诉行为，保证按照相关规定要求进行。投诉内容符合要求，投诉材料加盖企业公章或由法定代表人授权委托人签字，并附有关身份证明复印件。不恶意投诉，对本公司提供的投诉线索的真实性负责，否则愿接受有关部门的处罚。</w:t>
      </w:r>
    </w:p>
    <w:p>
      <w:pPr>
        <w:spacing w:line="5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以上内容我已仔细阅读，本公司若有违反承诺内容的行为，自愿接受取消投标或者中标资格、记入不良行为记录、投标保证金不予退还等有关处理，愿意承担法律责任，给</w:t>
      </w:r>
      <w:r>
        <w:rPr>
          <w:rFonts w:hint="eastAsia" w:ascii="宋体" w:hAnsi="宋体"/>
          <w:color w:val="auto"/>
          <w:szCs w:val="21"/>
          <w:highlight w:val="none"/>
          <w:lang w:eastAsia="zh-CN"/>
        </w:rPr>
        <w:t>招标人</w:t>
      </w:r>
      <w:r>
        <w:rPr>
          <w:rFonts w:hint="eastAsia" w:ascii="宋体" w:hAnsi="宋体"/>
          <w:color w:val="auto"/>
          <w:szCs w:val="21"/>
          <w:highlight w:val="none"/>
        </w:rPr>
        <w:t>造成损失的，依法承担赔偿责任。</w:t>
      </w:r>
    </w:p>
    <w:p>
      <w:pPr>
        <w:spacing w:line="5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 </w:t>
      </w:r>
    </w:p>
    <w:p>
      <w:pPr>
        <w:spacing w:line="5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开户银行：                          基本账户：</w:t>
      </w:r>
    </w:p>
    <w:p>
      <w:pPr>
        <w:spacing w:line="5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投标单位（盖单位章）：          法定代表人（签字</w:t>
      </w:r>
      <w:r>
        <w:rPr>
          <w:rFonts w:hint="eastAsia" w:ascii="宋体" w:hAnsi="宋体"/>
          <w:color w:val="auto"/>
          <w:szCs w:val="21"/>
          <w:highlight w:val="none"/>
          <w:lang w:val="en-US" w:eastAsia="zh-CN"/>
        </w:rPr>
        <w:t>或盖章</w:t>
      </w:r>
      <w:r>
        <w:rPr>
          <w:rFonts w:hint="eastAsia" w:ascii="宋体" w:hAnsi="宋体"/>
          <w:color w:val="auto"/>
          <w:szCs w:val="21"/>
          <w:highlight w:val="none"/>
        </w:rPr>
        <w:t>）：</w:t>
      </w:r>
    </w:p>
    <w:p>
      <w:pPr>
        <w:spacing w:line="500" w:lineRule="exact"/>
        <w:ind w:firstLine="420" w:firstLineChars="200"/>
        <w:rPr>
          <w:rFonts w:hint="eastAsia" w:ascii="宋体" w:hAnsi="宋体"/>
          <w:color w:val="auto"/>
          <w:szCs w:val="21"/>
          <w:highlight w:val="none"/>
        </w:rPr>
      </w:pPr>
    </w:p>
    <w:p>
      <w:pPr>
        <w:spacing w:line="560" w:lineRule="exact"/>
        <w:jc w:val="right"/>
        <w:rPr>
          <w:rFonts w:hint="eastAsia" w:ascii="宋体" w:hAnsi="宋体"/>
          <w:color w:val="auto"/>
          <w:szCs w:val="21"/>
          <w:highlight w:val="none"/>
        </w:rPr>
      </w:pPr>
    </w:p>
    <w:p>
      <w:pPr>
        <w:spacing w:line="560" w:lineRule="exact"/>
        <w:jc w:val="right"/>
        <w:rPr>
          <w:rFonts w:hint="eastAsia" w:ascii="仿宋_GB2312" w:eastAsia="仿宋_GB2312"/>
          <w:color w:val="auto"/>
          <w:sz w:val="32"/>
          <w:szCs w:val="32"/>
          <w:highlight w:val="none"/>
        </w:rPr>
      </w:pPr>
      <w:r>
        <w:rPr>
          <w:rFonts w:hint="eastAsia" w:ascii="宋体" w:hAnsi="宋体"/>
          <w:color w:val="auto"/>
          <w:szCs w:val="21"/>
          <w:highlight w:val="none"/>
        </w:rPr>
        <w:t>日期：</w:t>
      </w:r>
      <w:r>
        <w:rPr>
          <w:rFonts w:ascii="宋体" w:hAnsi="宋体"/>
          <w:color w:val="auto"/>
          <w:szCs w:val="21"/>
          <w:highlight w:val="none"/>
          <w:u w:val="single"/>
        </w:rPr>
        <w:t xml:space="preserve">           </w:t>
      </w:r>
      <w:r>
        <w:rPr>
          <w:rFonts w:hint="eastAsia" w:ascii="宋体" w:hAnsi="宋体"/>
          <w:color w:val="auto"/>
          <w:szCs w:val="21"/>
          <w:highlight w:val="none"/>
        </w:rPr>
        <w:t>年</w:t>
      </w:r>
      <w:r>
        <w:rPr>
          <w:rFonts w:ascii="宋体" w:hAnsi="宋体"/>
          <w:color w:val="auto"/>
          <w:szCs w:val="21"/>
          <w:highlight w:val="none"/>
        </w:rPr>
        <w:t xml:space="preserve"> </w:t>
      </w:r>
      <w:r>
        <w:rPr>
          <w:rFonts w:ascii="宋体" w:hAnsi="宋体"/>
          <w:color w:val="auto"/>
          <w:szCs w:val="21"/>
          <w:highlight w:val="none"/>
          <w:u w:val="single"/>
        </w:rPr>
        <w:t xml:space="preserve">           </w:t>
      </w:r>
      <w:r>
        <w:rPr>
          <w:rFonts w:hint="eastAsia" w:ascii="宋体" w:hAnsi="宋体"/>
          <w:color w:val="auto"/>
          <w:szCs w:val="21"/>
          <w:highlight w:val="none"/>
        </w:rPr>
        <w:t>月</w:t>
      </w:r>
      <w:r>
        <w:rPr>
          <w:rFonts w:ascii="宋体" w:hAnsi="宋体"/>
          <w:color w:val="auto"/>
          <w:szCs w:val="21"/>
          <w:highlight w:val="none"/>
        </w:rPr>
        <w:t xml:space="preserve"> </w:t>
      </w:r>
      <w:r>
        <w:rPr>
          <w:rFonts w:ascii="宋体" w:hAnsi="宋体"/>
          <w:color w:val="auto"/>
          <w:szCs w:val="21"/>
          <w:highlight w:val="none"/>
          <w:u w:val="single"/>
        </w:rPr>
        <w:t xml:space="preserve">            </w:t>
      </w:r>
      <w:r>
        <w:rPr>
          <w:rFonts w:hint="eastAsia" w:ascii="宋体" w:hAnsi="宋体"/>
          <w:color w:val="auto"/>
          <w:szCs w:val="21"/>
          <w:highlight w:val="none"/>
        </w:rPr>
        <w:t>日</w:t>
      </w:r>
    </w:p>
    <w:p>
      <w:pPr>
        <w:jc w:val="center"/>
        <w:rPr>
          <w:rFonts w:eastAsia="黑体"/>
          <w:color w:val="auto"/>
          <w:sz w:val="28"/>
          <w:szCs w:val="28"/>
          <w:u w:val="single"/>
        </w:rPr>
      </w:pPr>
    </w:p>
    <w:p>
      <w:pPr>
        <w:pStyle w:val="2"/>
        <w:rPr>
          <w:rFonts w:eastAsia="黑体"/>
          <w:color w:val="auto"/>
          <w:sz w:val="28"/>
          <w:szCs w:val="28"/>
          <w:u w:val="single"/>
        </w:rPr>
      </w:pPr>
    </w:p>
    <w:p>
      <w:pPr>
        <w:rPr>
          <w:rFonts w:eastAsia="黑体"/>
          <w:color w:val="auto"/>
          <w:sz w:val="28"/>
          <w:szCs w:val="28"/>
          <w:u w:val="single"/>
        </w:rPr>
      </w:pPr>
    </w:p>
    <w:p>
      <w:pPr>
        <w:pStyle w:val="2"/>
        <w:rPr>
          <w:rFonts w:eastAsia="黑体"/>
          <w:color w:val="auto"/>
          <w:sz w:val="28"/>
          <w:szCs w:val="28"/>
          <w:u w:val="single"/>
        </w:rPr>
      </w:pPr>
    </w:p>
    <w:p>
      <w:pPr>
        <w:rPr>
          <w:rFonts w:eastAsia="黑体"/>
          <w:color w:val="auto"/>
          <w:sz w:val="28"/>
          <w:szCs w:val="28"/>
          <w:u w:val="single"/>
        </w:rPr>
      </w:pPr>
    </w:p>
    <w:p>
      <w:pPr>
        <w:pStyle w:val="2"/>
        <w:rPr>
          <w:rFonts w:eastAsia="黑体"/>
          <w:color w:val="auto"/>
          <w:sz w:val="28"/>
          <w:szCs w:val="28"/>
          <w:u w:val="single"/>
        </w:rPr>
      </w:pPr>
    </w:p>
    <w:p>
      <w:pPr>
        <w:rPr>
          <w:rFonts w:eastAsia="黑体"/>
          <w:color w:val="auto"/>
          <w:sz w:val="28"/>
          <w:szCs w:val="28"/>
          <w:u w:val="single"/>
        </w:rPr>
      </w:pPr>
    </w:p>
    <w:p>
      <w:pPr>
        <w:pStyle w:val="2"/>
        <w:rPr>
          <w:rFonts w:eastAsia="黑体"/>
          <w:color w:val="auto"/>
          <w:sz w:val="28"/>
          <w:szCs w:val="28"/>
          <w:u w:val="single"/>
        </w:rPr>
      </w:pPr>
    </w:p>
    <w:p>
      <w:pPr>
        <w:rPr>
          <w:rFonts w:eastAsia="黑体"/>
          <w:color w:val="auto"/>
          <w:sz w:val="28"/>
          <w:szCs w:val="28"/>
          <w:u w:val="single"/>
        </w:rPr>
      </w:pPr>
    </w:p>
    <w:p>
      <w:pPr>
        <w:pStyle w:val="2"/>
        <w:rPr>
          <w:rFonts w:eastAsia="黑体"/>
          <w:color w:val="auto"/>
          <w:sz w:val="28"/>
          <w:szCs w:val="28"/>
          <w:u w:val="single"/>
        </w:rPr>
      </w:pPr>
    </w:p>
    <w:p>
      <w:pPr>
        <w:rPr>
          <w:rFonts w:eastAsia="黑体"/>
          <w:color w:val="auto"/>
          <w:sz w:val="28"/>
          <w:szCs w:val="28"/>
          <w:u w:val="single"/>
        </w:rPr>
      </w:pPr>
    </w:p>
    <w:p>
      <w:pPr>
        <w:pStyle w:val="2"/>
        <w:rPr>
          <w:rFonts w:eastAsia="黑体"/>
          <w:color w:val="auto"/>
          <w:sz w:val="28"/>
          <w:szCs w:val="28"/>
          <w:u w:val="single"/>
        </w:rPr>
      </w:pPr>
    </w:p>
    <w:p>
      <w:pPr>
        <w:rPr>
          <w:color w:val="auto"/>
        </w:rPr>
      </w:pPr>
    </w:p>
    <w:p>
      <w:pPr>
        <w:jc w:val="center"/>
        <w:rPr>
          <w:rFonts w:eastAsia="黑体"/>
          <w:color w:val="auto"/>
          <w:sz w:val="20"/>
          <w:szCs w:val="20"/>
        </w:rPr>
      </w:pPr>
      <w:r>
        <w:rPr>
          <w:rFonts w:eastAsia="黑体"/>
          <w:color w:val="auto"/>
          <w:sz w:val="28"/>
          <w:szCs w:val="28"/>
          <w:u w:val="single"/>
        </w:rPr>
        <w:t xml:space="preserve">                </w:t>
      </w:r>
      <w:r>
        <w:rPr>
          <w:rFonts w:eastAsia="黑体"/>
          <w:color w:val="auto"/>
          <w:sz w:val="28"/>
          <w:szCs w:val="28"/>
        </w:rPr>
        <w:t>（项目名称）</w:t>
      </w:r>
    </w:p>
    <w:p>
      <w:pPr>
        <w:jc w:val="center"/>
        <w:rPr>
          <w:rFonts w:eastAsia="黑体"/>
          <w:color w:val="auto"/>
          <w:sz w:val="20"/>
          <w:szCs w:val="20"/>
        </w:rPr>
      </w:pPr>
    </w:p>
    <w:p>
      <w:pPr>
        <w:rPr>
          <w:rFonts w:eastAsia="黑体"/>
          <w:color w:val="auto"/>
          <w:sz w:val="20"/>
          <w:szCs w:val="20"/>
        </w:rPr>
      </w:pPr>
    </w:p>
    <w:p>
      <w:pPr>
        <w:jc w:val="center"/>
        <w:rPr>
          <w:rFonts w:hint="eastAsia" w:eastAsia="黑体"/>
          <w:color w:val="auto"/>
          <w:sz w:val="44"/>
          <w:szCs w:val="44"/>
        </w:rPr>
      </w:pPr>
      <w:r>
        <w:rPr>
          <w:rFonts w:eastAsia="黑体"/>
          <w:color w:val="auto"/>
          <w:sz w:val="44"/>
          <w:szCs w:val="44"/>
        </w:rPr>
        <w:t xml:space="preserve">投  标  文  件  </w:t>
      </w:r>
      <w:r>
        <w:rPr>
          <w:rFonts w:hint="eastAsia" w:eastAsia="黑体"/>
          <w:color w:val="auto"/>
          <w:sz w:val="44"/>
          <w:szCs w:val="44"/>
        </w:rPr>
        <w:t>二</w:t>
      </w:r>
    </w:p>
    <w:p>
      <w:pPr>
        <w:jc w:val="center"/>
        <w:rPr>
          <w:rFonts w:eastAsia="黑体"/>
          <w:color w:val="auto"/>
          <w:sz w:val="44"/>
          <w:szCs w:val="44"/>
        </w:rPr>
      </w:pPr>
      <w:r>
        <w:rPr>
          <w:rFonts w:eastAsia="黑体"/>
          <w:color w:val="auto"/>
          <w:sz w:val="44"/>
          <w:szCs w:val="44"/>
        </w:rPr>
        <w:t>（</w:t>
      </w:r>
      <w:r>
        <w:rPr>
          <w:rFonts w:hint="eastAsia" w:eastAsia="黑体"/>
          <w:color w:val="auto"/>
          <w:sz w:val="44"/>
          <w:szCs w:val="44"/>
          <w:lang w:val="en-US" w:eastAsia="zh-CN"/>
        </w:rPr>
        <w:t>商务</w:t>
      </w:r>
      <w:r>
        <w:rPr>
          <w:rFonts w:eastAsia="黑体"/>
          <w:color w:val="auto"/>
          <w:sz w:val="44"/>
          <w:szCs w:val="44"/>
        </w:rPr>
        <w:t>标文件）</w:t>
      </w:r>
    </w:p>
    <w:p>
      <w:pPr>
        <w:rPr>
          <w:rFonts w:eastAsia="黑体"/>
          <w:color w:val="auto"/>
          <w:sz w:val="28"/>
          <w:szCs w:val="28"/>
        </w:rPr>
      </w:pPr>
    </w:p>
    <w:p>
      <w:pPr>
        <w:rPr>
          <w:rFonts w:eastAsia="黑体"/>
          <w:color w:val="auto"/>
          <w:sz w:val="28"/>
          <w:szCs w:val="28"/>
        </w:rPr>
      </w:pPr>
    </w:p>
    <w:p>
      <w:pPr>
        <w:rPr>
          <w:rFonts w:eastAsia="黑体"/>
          <w:color w:val="auto"/>
          <w:sz w:val="28"/>
          <w:szCs w:val="28"/>
        </w:rPr>
      </w:pPr>
    </w:p>
    <w:p>
      <w:pPr>
        <w:rPr>
          <w:rFonts w:eastAsia="黑体"/>
          <w:color w:val="auto"/>
          <w:sz w:val="28"/>
          <w:szCs w:val="28"/>
        </w:rPr>
      </w:pPr>
    </w:p>
    <w:p>
      <w:pPr>
        <w:rPr>
          <w:rFonts w:eastAsia="黑体"/>
          <w:color w:val="auto"/>
          <w:sz w:val="28"/>
          <w:szCs w:val="28"/>
        </w:rPr>
      </w:pPr>
    </w:p>
    <w:p>
      <w:pPr>
        <w:rPr>
          <w:rFonts w:eastAsia="黑体"/>
          <w:color w:val="auto"/>
          <w:sz w:val="28"/>
          <w:szCs w:val="28"/>
        </w:rPr>
      </w:pPr>
    </w:p>
    <w:p>
      <w:pPr>
        <w:rPr>
          <w:rFonts w:eastAsia="黑体"/>
          <w:color w:val="auto"/>
          <w:sz w:val="28"/>
          <w:szCs w:val="28"/>
        </w:rPr>
      </w:pPr>
    </w:p>
    <w:p>
      <w:pPr>
        <w:rPr>
          <w:rFonts w:eastAsia="黑体"/>
          <w:color w:val="auto"/>
          <w:sz w:val="28"/>
          <w:szCs w:val="28"/>
        </w:rPr>
      </w:pPr>
    </w:p>
    <w:p>
      <w:pPr>
        <w:rPr>
          <w:rFonts w:eastAsia="黑体"/>
          <w:color w:val="auto"/>
          <w:sz w:val="28"/>
          <w:szCs w:val="28"/>
        </w:rPr>
      </w:pPr>
    </w:p>
    <w:p>
      <w:pPr>
        <w:rPr>
          <w:rFonts w:eastAsia="黑体"/>
          <w:color w:val="auto"/>
          <w:sz w:val="28"/>
          <w:szCs w:val="28"/>
        </w:rPr>
      </w:pPr>
    </w:p>
    <w:p>
      <w:pPr>
        <w:rPr>
          <w:rFonts w:eastAsia="黑体"/>
          <w:color w:val="auto"/>
          <w:sz w:val="28"/>
          <w:szCs w:val="28"/>
        </w:rPr>
      </w:pPr>
    </w:p>
    <w:p>
      <w:pPr>
        <w:rPr>
          <w:rFonts w:eastAsia="黑体"/>
          <w:color w:val="auto"/>
          <w:sz w:val="28"/>
          <w:szCs w:val="28"/>
        </w:rPr>
      </w:pPr>
    </w:p>
    <w:p>
      <w:pPr>
        <w:jc w:val="center"/>
        <w:rPr>
          <w:rFonts w:eastAsia="黑体"/>
          <w:color w:val="auto"/>
          <w:sz w:val="28"/>
          <w:szCs w:val="28"/>
          <w:u w:val="single"/>
        </w:rPr>
      </w:pPr>
      <w:r>
        <w:rPr>
          <w:rFonts w:eastAsia="黑体"/>
          <w:color w:val="auto"/>
          <w:sz w:val="28"/>
          <w:szCs w:val="28"/>
        </w:rPr>
        <w:t>投标人：</w:t>
      </w:r>
      <w:r>
        <w:rPr>
          <w:rFonts w:eastAsia="黑体"/>
          <w:color w:val="auto"/>
          <w:sz w:val="28"/>
          <w:szCs w:val="28"/>
          <w:u w:val="single"/>
        </w:rPr>
        <w:t xml:space="preserve">                              </w:t>
      </w:r>
      <w:r>
        <w:rPr>
          <w:rFonts w:eastAsia="黑体"/>
          <w:color w:val="auto"/>
          <w:sz w:val="28"/>
          <w:szCs w:val="28"/>
        </w:rPr>
        <w:t>（</w:t>
      </w:r>
      <w:r>
        <w:rPr>
          <w:rFonts w:hint="eastAsia" w:eastAsia="黑体"/>
          <w:color w:val="auto"/>
          <w:sz w:val="28"/>
          <w:szCs w:val="28"/>
          <w:lang w:val="en-US" w:eastAsia="zh-CN"/>
        </w:rPr>
        <w:t>盖章</w:t>
      </w:r>
      <w:r>
        <w:rPr>
          <w:rFonts w:eastAsia="黑体"/>
          <w:color w:val="auto"/>
          <w:sz w:val="28"/>
          <w:szCs w:val="28"/>
        </w:rPr>
        <w:t>）</w:t>
      </w:r>
    </w:p>
    <w:p>
      <w:pPr>
        <w:jc w:val="center"/>
        <w:rPr>
          <w:rFonts w:eastAsia="黑体"/>
          <w:color w:val="auto"/>
          <w:sz w:val="28"/>
          <w:szCs w:val="28"/>
        </w:rPr>
      </w:pPr>
      <w:r>
        <w:rPr>
          <w:rFonts w:eastAsia="黑体"/>
          <w:color w:val="auto"/>
          <w:sz w:val="28"/>
          <w:szCs w:val="28"/>
        </w:rPr>
        <w:t>法定代表人：</w:t>
      </w:r>
      <w:r>
        <w:rPr>
          <w:rFonts w:eastAsia="黑体"/>
          <w:color w:val="auto"/>
          <w:sz w:val="28"/>
          <w:szCs w:val="28"/>
          <w:u w:val="single"/>
        </w:rPr>
        <w:t xml:space="preserve">                </w:t>
      </w:r>
      <w:r>
        <w:rPr>
          <w:rFonts w:eastAsia="黑体"/>
          <w:color w:val="auto"/>
          <w:sz w:val="28"/>
          <w:szCs w:val="28"/>
        </w:rPr>
        <w:t>（签</w:t>
      </w:r>
      <w:r>
        <w:rPr>
          <w:rFonts w:hint="eastAsia" w:eastAsia="黑体"/>
          <w:color w:val="auto"/>
          <w:sz w:val="28"/>
          <w:szCs w:val="28"/>
          <w:lang w:val="en-US" w:eastAsia="zh-CN"/>
        </w:rPr>
        <w:t>字或盖章</w:t>
      </w:r>
      <w:r>
        <w:rPr>
          <w:rFonts w:eastAsia="黑体"/>
          <w:color w:val="auto"/>
          <w:sz w:val="28"/>
          <w:szCs w:val="28"/>
        </w:rPr>
        <w:t>）</w:t>
      </w:r>
    </w:p>
    <w:p>
      <w:pPr>
        <w:jc w:val="center"/>
        <w:rPr>
          <w:rFonts w:hint="eastAsia" w:eastAsia="黑体"/>
          <w:b/>
          <w:color w:val="auto"/>
          <w:sz w:val="28"/>
          <w:szCs w:val="28"/>
          <w:u w:val="none"/>
          <w:lang w:val="en-US" w:eastAsia="zh-CN"/>
        </w:rPr>
        <w:sectPr>
          <w:pgSz w:w="11906" w:h="16838"/>
          <w:pgMar w:top="1440" w:right="1800" w:bottom="1440" w:left="1800" w:header="851" w:footer="992" w:gutter="0"/>
          <w:cols w:space="720" w:num="1"/>
          <w:docGrid w:type="lines" w:linePitch="312" w:charSpace="0"/>
        </w:sectPr>
      </w:pPr>
      <w:r>
        <w:rPr>
          <w:rFonts w:eastAsia="黑体"/>
          <w:color w:val="auto"/>
          <w:sz w:val="28"/>
          <w:szCs w:val="28"/>
          <w:u w:val="single"/>
        </w:rPr>
        <w:t xml:space="preserve">        </w:t>
      </w:r>
      <w:r>
        <w:rPr>
          <w:rFonts w:eastAsia="黑体"/>
          <w:color w:val="auto"/>
          <w:sz w:val="28"/>
          <w:szCs w:val="28"/>
        </w:rPr>
        <w:t>年</w:t>
      </w:r>
      <w:r>
        <w:rPr>
          <w:rFonts w:eastAsia="黑体"/>
          <w:color w:val="auto"/>
          <w:sz w:val="28"/>
          <w:szCs w:val="28"/>
          <w:u w:val="single"/>
        </w:rPr>
        <w:t xml:space="preserve">        </w:t>
      </w:r>
      <w:r>
        <w:rPr>
          <w:rFonts w:eastAsia="黑体"/>
          <w:color w:val="auto"/>
          <w:sz w:val="28"/>
          <w:szCs w:val="28"/>
        </w:rPr>
        <w:t>月</w:t>
      </w:r>
      <w:r>
        <w:rPr>
          <w:rFonts w:eastAsia="黑体"/>
          <w:color w:val="auto"/>
          <w:sz w:val="28"/>
          <w:szCs w:val="28"/>
          <w:u w:val="single"/>
        </w:rPr>
        <w:t xml:space="preserve">       </w:t>
      </w:r>
      <w:r>
        <w:rPr>
          <w:rFonts w:hint="eastAsia" w:eastAsia="黑体"/>
          <w:color w:val="auto"/>
          <w:sz w:val="28"/>
          <w:szCs w:val="28"/>
          <w:u w:val="none"/>
          <w:lang w:val="en-US" w:eastAsia="zh-CN"/>
        </w:rPr>
        <w:t>日</w:t>
      </w:r>
    </w:p>
    <w:p>
      <w:pPr>
        <w:pStyle w:val="34"/>
        <w:ind w:left="420" w:hanging="420"/>
        <w:rPr>
          <w:rFonts w:hint="eastAsia"/>
          <w:color w:val="auto"/>
          <w:szCs w:val="21"/>
        </w:rPr>
      </w:pPr>
    </w:p>
    <w:p>
      <w:pPr>
        <w:widowControl/>
        <w:spacing w:line="440" w:lineRule="exact"/>
        <w:ind w:firstLine="420" w:firstLineChars="200"/>
        <w:jc w:val="center"/>
        <w:textAlignment w:val="baseline"/>
        <w:rPr>
          <w:rFonts w:hint="eastAsia" w:ascii="宋体" w:hAnsi="宋体" w:cs="宋体"/>
          <w:color w:val="auto"/>
          <w:kern w:val="0"/>
          <w:szCs w:val="21"/>
          <w:u w:color="000000"/>
          <w:lang w:val="en-US" w:eastAsia="zh-CN"/>
        </w:rPr>
      </w:pPr>
      <w:r>
        <w:rPr>
          <w:rFonts w:hint="eastAsia" w:ascii="宋体" w:hAnsi="宋体" w:cs="宋体"/>
          <w:color w:val="auto"/>
          <w:kern w:val="0"/>
          <w:szCs w:val="21"/>
          <w:u w:color="000000"/>
          <w:lang w:val="en-US" w:eastAsia="zh-CN"/>
        </w:rPr>
        <w:t>目  录</w:t>
      </w:r>
    </w:p>
    <w:p>
      <w:pPr>
        <w:widowControl/>
        <w:spacing w:line="440" w:lineRule="exact"/>
        <w:ind w:firstLine="420" w:firstLineChars="200"/>
        <w:textAlignment w:val="baseline"/>
        <w:rPr>
          <w:rFonts w:ascii="宋体" w:hAnsi="宋体" w:cs="宋体"/>
          <w:color w:val="auto"/>
          <w:kern w:val="0"/>
          <w:szCs w:val="21"/>
          <w:u w:color="000000"/>
        </w:rPr>
      </w:pPr>
      <w:r>
        <w:rPr>
          <w:rFonts w:hint="eastAsia" w:ascii="宋体" w:hAnsi="宋体" w:cs="宋体"/>
          <w:color w:val="auto"/>
          <w:kern w:val="0"/>
          <w:szCs w:val="21"/>
          <w:u w:color="000000"/>
        </w:rPr>
        <w:t>（</w:t>
      </w:r>
      <w:r>
        <w:rPr>
          <w:rFonts w:hint="eastAsia" w:ascii="宋体" w:hAnsi="宋体" w:cs="宋体"/>
          <w:color w:val="auto"/>
          <w:kern w:val="0"/>
          <w:szCs w:val="21"/>
          <w:u w:color="000000"/>
          <w:lang w:val="en-US" w:eastAsia="zh-CN"/>
        </w:rPr>
        <w:t>1</w:t>
      </w:r>
      <w:r>
        <w:rPr>
          <w:rFonts w:hint="eastAsia" w:ascii="宋体" w:hAnsi="宋体" w:cs="宋体"/>
          <w:color w:val="auto"/>
          <w:kern w:val="0"/>
          <w:szCs w:val="21"/>
          <w:u w:color="000000"/>
        </w:rPr>
        <w:t>）投标函（格式见附件）；</w:t>
      </w:r>
    </w:p>
    <w:p>
      <w:pPr>
        <w:widowControl/>
        <w:spacing w:line="440" w:lineRule="exact"/>
        <w:ind w:firstLine="420" w:firstLineChars="200"/>
        <w:textAlignment w:val="baseline"/>
        <w:rPr>
          <w:rFonts w:ascii="宋体" w:hAnsi="宋体" w:cs="宋体"/>
          <w:color w:val="auto"/>
          <w:kern w:val="0"/>
          <w:szCs w:val="21"/>
          <w:u w:color="000000"/>
        </w:rPr>
      </w:pPr>
      <w:r>
        <w:rPr>
          <w:rFonts w:hint="eastAsia" w:ascii="宋体" w:hAnsi="宋体" w:cs="宋体"/>
          <w:color w:val="auto"/>
          <w:kern w:val="0"/>
          <w:szCs w:val="21"/>
          <w:u w:color="000000"/>
        </w:rPr>
        <w:t>（</w:t>
      </w:r>
      <w:r>
        <w:rPr>
          <w:rFonts w:hint="eastAsia" w:ascii="宋体" w:hAnsi="宋体" w:cs="宋体"/>
          <w:color w:val="auto"/>
          <w:kern w:val="0"/>
          <w:szCs w:val="21"/>
          <w:u w:color="000000"/>
          <w:lang w:val="en-US" w:eastAsia="zh-CN"/>
        </w:rPr>
        <w:t>2</w:t>
      </w:r>
      <w:r>
        <w:rPr>
          <w:rFonts w:hint="eastAsia" w:ascii="宋体" w:hAnsi="宋体" w:cs="宋体"/>
          <w:color w:val="auto"/>
          <w:kern w:val="0"/>
          <w:szCs w:val="21"/>
          <w:u w:color="000000"/>
        </w:rPr>
        <w:t>）招标文件要求提供的其他证明材料。</w:t>
      </w:r>
    </w:p>
    <w:p>
      <w:pPr>
        <w:spacing w:line="360" w:lineRule="auto"/>
        <w:jc w:val="center"/>
        <w:rPr>
          <w:rFonts w:hint="eastAsia"/>
          <w:b/>
          <w:color w:val="auto"/>
          <w:sz w:val="28"/>
          <w:szCs w:val="28"/>
        </w:rPr>
      </w:pPr>
    </w:p>
    <w:p>
      <w:pPr>
        <w:spacing w:line="360" w:lineRule="auto"/>
        <w:jc w:val="center"/>
        <w:rPr>
          <w:rFonts w:hint="eastAsia"/>
          <w:b/>
          <w:color w:val="auto"/>
          <w:sz w:val="28"/>
          <w:szCs w:val="28"/>
        </w:rPr>
      </w:pPr>
    </w:p>
    <w:p>
      <w:pPr>
        <w:spacing w:line="360" w:lineRule="auto"/>
        <w:jc w:val="center"/>
        <w:rPr>
          <w:rFonts w:hint="eastAsia"/>
          <w:b/>
          <w:color w:val="auto"/>
          <w:sz w:val="28"/>
          <w:szCs w:val="28"/>
        </w:rPr>
      </w:pPr>
    </w:p>
    <w:p>
      <w:pPr>
        <w:spacing w:line="360" w:lineRule="auto"/>
        <w:jc w:val="center"/>
        <w:rPr>
          <w:rFonts w:hint="eastAsia"/>
          <w:b/>
          <w:color w:val="auto"/>
          <w:sz w:val="28"/>
          <w:szCs w:val="28"/>
        </w:rPr>
      </w:pPr>
    </w:p>
    <w:p>
      <w:pPr>
        <w:spacing w:line="360" w:lineRule="auto"/>
        <w:jc w:val="center"/>
        <w:rPr>
          <w:rFonts w:hint="eastAsia"/>
          <w:b/>
          <w:color w:val="auto"/>
          <w:sz w:val="28"/>
          <w:szCs w:val="28"/>
        </w:rPr>
      </w:pPr>
    </w:p>
    <w:p>
      <w:pPr>
        <w:spacing w:line="360" w:lineRule="auto"/>
        <w:jc w:val="center"/>
        <w:rPr>
          <w:rFonts w:hint="eastAsia"/>
          <w:b/>
          <w:color w:val="auto"/>
          <w:sz w:val="28"/>
          <w:szCs w:val="28"/>
        </w:rPr>
      </w:pPr>
    </w:p>
    <w:p>
      <w:pPr>
        <w:spacing w:line="360" w:lineRule="auto"/>
        <w:jc w:val="center"/>
        <w:rPr>
          <w:rFonts w:hint="eastAsia"/>
          <w:b/>
          <w:color w:val="auto"/>
          <w:sz w:val="28"/>
          <w:szCs w:val="28"/>
        </w:rPr>
      </w:pPr>
    </w:p>
    <w:p>
      <w:pPr>
        <w:spacing w:line="360" w:lineRule="auto"/>
        <w:jc w:val="center"/>
        <w:rPr>
          <w:rFonts w:hint="eastAsia"/>
          <w:b/>
          <w:color w:val="auto"/>
          <w:sz w:val="28"/>
          <w:szCs w:val="28"/>
        </w:rPr>
      </w:pPr>
    </w:p>
    <w:p>
      <w:pPr>
        <w:spacing w:line="360" w:lineRule="auto"/>
        <w:jc w:val="center"/>
        <w:rPr>
          <w:rFonts w:hint="eastAsia"/>
          <w:b/>
          <w:color w:val="auto"/>
          <w:sz w:val="28"/>
          <w:szCs w:val="28"/>
        </w:rPr>
      </w:pPr>
    </w:p>
    <w:p>
      <w:pPr>
        <w:spacing w:line="360" w:lineRule="auto"/>
        <w:jc w:val="center"/>
        <w:rPr>
          <w:rFonts w:hint="eastAsia"/>
          <w:b/>
          <w:color w:val="auto"/>
          <w:sz w:val="28"/>
          <w:szCs w:val="28"/>
        </w:rPr>
      </w:pPr>
    </w:p>
    <w:p>
      <w:pPr>
        <w:spacing w:line="360" w:lineRule="auto"/>
        <w:jc w:val="center"/>
        <w:rPr>
          <w:rFonts w:hint="eastAsia"/>
          <w:b/>
          <w:color w:val="auto"/>
          <w:sz w:val="28"/>
          <w:szCs w:val="28"/>
        </w:rPr>
      </w:pPr>
    </w:p>
    <w:p>
      <w:pPr>
        <w:spacing w:line="360" w:lineRule="auto"/>
        <w:jc w:val="center"/>
        <w:rPr>
          <w:rFonts w:hint="eastAsia"/>
          <w:b/>
          <w:color w:val="auto"/>
          <w:sz w:val="28"/>
          <w:szCs w:val="28"/>
        </w:rPr>
      </w:pPr>
    </w:p>
    <w:p>
      <w:pPr>
        <w:spacing w:line="360" w:lineRule="auto"/>
        <w:jc w:val="center"/>
        <w:rPr>
          <w:rFonts w:hint="eastAsia"/>
          <w:b/>
          <w:color w:val="auto"/>
          <w:sz w:val="28"/>
          <w:szCs w:val="28"/>
        </w:rPr>
      </w:pPr>
    </w:p>
    <w:p>
      <w:pPr>
        <w:spacing w:line="360" w:lineRule="auto"/>
        <w:jc w:val="center"/>
        <w:rPr>
          <w:rFonts w:hint="eastAsia"/>
          <w:b/>
          <w:color w:val="auto"/>
          <w:sz w:val="28"/>
          <w:szCs w:val="28"/>
        </w:rPr>
      </w:pPr>
    </w:p>
    <w:p>
      <w:pPr>
        <w:spacing w:line="360" w:lineRule="auto"/>
        <w:jc w:val="center"/>
        <w:rPr>
          <w:rFonts w:hint="eastAsia"/>
          <w:b/>
          <w:color w:val="auto"/>
          <w:sz w:val="28"/>
          <w:szCs w:val="28"/>
        </w:rPr>
      </w:pPr>
    </w:p>
    <w:p>
      <w:pPr>
        <w:spacing w:line="360" w:lineRule="auto"/>
        <w:jc w:val="center"/>
        <w:rPr>
          <w:rFonts w:hint="eastAsia"/>
          <w:b/>
          <w:color w:val="auto"/>
          <w:sz w:val="28"/>
          <w:szCs w:val="28"/>
        </w:rPr>
      </w:pPr>
    </w:p>
    <w:p>
      <w:pPr>
        <w:spacing w:line="360" w:lineRule="auto"/>
        <w:jc w:val="center"/>
        <w:rPr>
          <w:rFonts w:hint="eastAsia"/>
          <w:b/>
          <w:color w:val="auto"/>
          <w:sz w:val="28"/>
          <w:szCs w:val="28"/>
        </w:rPr>
      </w:pPr>
    </w:p>
    <w:p>
      <w:pPr>
        <w:spacing w:line="360" w:lineRule="auto"/>
        <w:jc w:val="center"/>
        <w:rPr>
          <w:rFonts w:hint="eastAsia"/>
          <w:b/>
          <w:color w:val="auto"/>
          <w:sz w:val="28"/>
          <w:szCs w:val="28"/>
        </w:rPr>
      </w:pPr>
    </w:p>
    <w:p>
      <w:pPr>
        <w:spacing w:line="360" w:lineRule="auto"/>
        <w:jc w:val="center"/>
        <w:rPr>
          <w:rFonts w:hint="eastAsia"/>
          <w:b/>
          <w:color w:val="auto"/>
          <w:sz w:val="28"/>
          <w:szCs w:val="28"/>
        </w:rPr>
      </w:pPr>
    </w:p>
    <w:p>
      <w:pPr>
        <w:spacing w:line="360" w:lineRule="auto"/>
        <w:jc w:val="center"/>
        <w:rPr>
          <w:rFonts w:hint="eastAsia"/>
          <w:b/>
          <w:color w:val="auto"/>
          <w:sz w:val="28"/>
          <w:szCs w:val="28"/>
        </w:rPr>
      </w:pPr>
    </w:p>
    <w:p>
      <w:pPr>
        <w:spacing w:line="360" w:lineRule="auto"/>
        <w:jc w:val="center"/>
        <w:rPr>
          <w:b/>
          <w:bCs/>
          <w:color w:val="auto"/>
          <w:sz w:val="36"/>
        </w:rPr>
      </w:pPr>
      <w:r>
        <w:rPr>
          <w:rFonts w:hint="eastAsia"/>
          <w:b/>
          <w:color w:val="auto"/>
          <w:sz w:val="28"/>
          <w:szCs w:val="28"/>
        </w:rPr>
        <w:t>投 标 函</w:t>
      </w:r>
    </w:p>
    <w:p>
      <w:pPr>
        <w:spacing w:line="360" w:lineRule="auto"/>
        <w:ind w:firstLine="480" w:firstLineChars="200"/>
        <w:rPr>
          <w:color w:val="auto"/>
          <w:sz w:val="24"/>
        </w:rPr>
      </w:pPr>
    </w:p>
    <w:p>
      <w:pPr>
        <w:spacing w:line="440" w:lineRule="exact"/>
        <w:rPr>
          <w:rFonts w:ascii="宋体"/>
          <w:color w:val="auto"/>
          <w:sz w:val="24"/>
        </w:rPr>
      </w:pPr>
      <w:r>
        <w:rPr>
          <w:rFonts w:hint="eastAsia" w:ascii="宋体"/>
          <w:color w:val="auto"/>
          <w:sz w:val="24"/>
        </w:rPr>
        <w:t>致：</w:t>
      </w:r>
      <w:r>
        <w:rPr>
          <w:rFonts w:hint="eastAsia" w:ascii="宋体"/>
          <w:color w:val="auto"/>
          <w:sz w:val="24"/>
          <w:u w:val="single"/>
        </w:rPr>
        <w:t xml:space="preserve">       (招标人)       </w:t>
      </w:r>
      <w:r>
        <w:rPr>
          <w:rFonts w:hint="eastAsia" w:ascii="宋体"/>
          <w:color w:val="auto"/>
          <w:sz w:val="24"/>
        </w:rPr>
        <w:t xml:space="preserve"> </w:t>
      </w:r>
    </w:p>
    <w:p>
      <w:pPr>
        <w:spacing w:line="440" w:lineRule="exact"/>
        <w:ind w:firstLine="480" w:firstLineChars="200"/>
        <w:rPr>
          <w:rFonts w:ascii="宋体"/>
          <w:color w:val="auto"/>
          <w:sz w:val="24"/>
        </w:rPr>
      </w:pPr>
      <w:r>
        <w:rPr>
          <w:rFonts w:hint="eastAsia" w:ascii="宋体"/>
          <w:color w:val="auto"/>
          <w:sz w:val="24"/>
        </w:rPr>
        <w:t>1.我们决定参加贵单位组织的“</w:t>
      </w:r>
      <w:r>
        <w:rPr>
          <w:rFonts w:hint="eastAsia" w:ascii="宋体"/>
          <w:color w:val="auto"/>
          <w:sz w:val="24"/>
          <w:u w:val="single"/>
        </w:rPr>
        <w:t xml:space="preserve"> （项目名称）    </w:t>
      </w:r>
      <w:r>
        <w:rPr>
          <w:rFonts w:hint="eastAsia" w:ascii="宋体"/>
          <w:color w:val="auto"/>
          <w:sz w:val="24"/>
        </w:rPr>
        <w:t xml:space="preserve">”的采购。我方授权 </w:t>
      </w:r>
      <w:r>
        <w:rPr>
          <w:rFonts w:hint="eastAsia" w:ascii="宋体"/>
          <w:color w:val="auto"/>
          <w:sz w:val="24"/>
          <w:u w:val="single"/>
        </w:rPr>
        <w:t xml:space="preserve">              </w:t>
      </w:r>
      <w:r>
        <w:rPr>
          <w:rFonts w:hint="eastAsia" w:ascii="宋体"/>
          <w:color w:val="auto"/>
          <w:sz w:val="24"/>
        </w:rPr>
        <w:t>(姓名和职务)代表我方</w:t>
      </w:r>
      <w:r>
        <w:rPr>
          <w:rFonts w:hint="eastAsia" w:ascii="宋体"/>
          <w:color w:val="auto"/>
          <w:sz w:val="24"/>
          <w:u w:val="single"/>
        </w:rPr>
        <w:t xml:space="preserve">               </w:t>
      </w:r>
      <w:r>
        <w:rPr>
          <w:rFonts w:hint="eastAsia" w:ascii="宋体"/>
          <w:color w:val="auto"/>
          <w:sz w:val="24"/>
        </w:rPr>
        <w:t>（投标人的名称）全权处理本项目投标的有关事宜。</w:t>
      </w:r>
    </w:p>
    <w:p>
      <w:pPr>
        <w:spacing w:line="440" w:lineRule="exact"/>
        <w:ind w:firstLine="480" w:firstLineChars="200"/>
        <w:rPr>
          <w:rFonts w:ascii="宋体"/>
          <w:color w:val="auto"/>
          <w:sz w:val="24"/>
          <w:u w:val="single"/>
        </w:rPr>
      </w:pPr>
      <w:r>
        <w:rPr>
          <w:rFonts w:hint="eastAsia" w:ascii="宋体"/>
          <w:color w:val="auto"/>
          <w:sz w:val="24"/>
        </w:rPr>
        <w:t xml:space="preserve">2.我方愿意按照招标文件规定的各项要求，向招标人提供“ </w:t>
      </w:r>
      <w:r>
        <w:rPr>
          <w:rFonts w:hint="eastAsia" w:ascii="宋体"/>
          <w:color w:val="auto"/>
          <w:sz w:val="24"/>
          <w:u w:val="single"/>
        </w:rPr>
        <w:t xml:space="preserve">     </w:t>
      </w:r>
      <w:r>
        <w:rPr>
          <w:rFonts w:hint="eastAsia" w:ascii="宋体"/>
          <w:color w:val="auto"/>
          <w:sz w:val="24"/>
        </w:rPr>
        <w:t>（项目编号）”项目的货物与服务，</w:t>
      </w:r>
      <w:r>
        <w:rPr>
          <w:rFonts w:hint="eastAsia" w:ascii="宋体"/>
          <w:color w:val="auto"/>
        </w:rPr>
        <w:t>我方报价为</w:t>
      </w:r>
      <w:r>
        <w:rPr>
          <w:rFonts w:hint="eastAsia" w:ascii="宋体"/>
          <w:b/>
          <w:bCs/>
          <w:color w:val="auto"/>
        </w:rPr>
        <w:t>基本费</w:t>
      </w:r>
      <w:r>
        <w:rPr>
          <w:rFonts w:hint="eastAsia" w:ascii="宋体"/>
          <w:b/>
          <w:bCs/>
          <w:color w:val="auto"/>
          <w:lang w:val="en-US" w:eastAsia="zh-CN"/>
        </w:rPr>
        <w:t>费率</w:t>
      </w:r>
      <w:r>
        <w:rPr>
          <w:rFonts w:hint="eastAsia" w:ascii="宋体"/>
          <w:b/>
          <w:bCs/>
          <w:color w:val="auto"/>
        </w:rPr>
        <w:t xml:space="preserve"> </w:t>
      </w:r>
      <w:r>
        <w:rPr>
          <w:rFonts w:hint="eastAsia" w:ascii="宋体"/>
          <w:b/>
          <w:bCs/>
          <w:color w:val="auto"/>
          <w:u w:val="single"/>
        </w:rPr>
        <w:t xml:space="preserve">       </w:t>
      </w:r>
      <w:r>
        <w:rPr>
          <w:rFonts w:hint="eastAsia" w:ascii="宋体"/>
          <w:b/>
          <w:bCs/>
          <w:color w:val="auto"/>
        </w:rPr>
        <w:t xml:space="preserve"> ，审核成果费率1.50%。</w:t>
      </w:r>
      <w:r>
        <w:rPr>
          <w:rFonts w:hint="eastAsia" w:ascii="宋体"/>
          <w:color w:val="auto"/>
        </w:rPr>
        <w:t>项目负责人为</w:t>
      </w:r>
      <w:r>
        <w:rPr>
          <w:rFonts w:hint="eastAsia" w:ascii="宋体"/>
          <w:color w:val="auto"/>
          <w:u w:val="single"/>
        </w:rPr>
        <w:t xml:space="preserve">       </w:t>
      </w:r>
      <w:r>
        <w:rPr>
          <w:rFonts w:hint="eastAsia" w:ascii="宋体"/>
          <w:color w:val="auto"/>
        </w:rPr>
        <w:t>，</w:t>
      </w:r>
      <w:r>
        <w:rPr>
          <w:rFonts w:hint="eastAsia" w:ascii="宋体"/>
          <w:color w:val="auto"/>
          <w:sz w:val="24"/>
        </w:rPr>
        <w:t>供货（服务）期 ：</w:t>
      </w:r>
      <w:r>
        <w:rPr>
          <w:rFonts w:hint="eastAsia" w:ascii="宋体"/>
          <w:color w:val="auto"/>
          <w:sz w:val="24"/>
          <w:u w:val="single"/>
        </w:rPr>
        <w:t>自签订合同之日起至整体竣工验收合格止。</w:t>
      </w:r>
    </w:p>
    <w:p>
      <w:pPr>
        <w:pStyle w:val="2"/>
        <w:spacing w:line="400" w:lineRule="exact"/>
        <w:ind w:firstLine="480"/>
        <w:rPr>
          <w:color w:val="auto"/>
        </w:rPr>
      </w:pPr>
      <w:r>
        <w:rPr>
          <w:rFonts w:hint="eastAsia" w:ascii="宋体"/>
          <w:color w:val="auto"/>
          <w:sz w:val="24"/>
          <w:szCs w:val="24"/>
        </w:rPr>
        <w:t>3.</w:t>
      </w:r>
      <w:r>
        <w:rPr>
          <w:rFonts w:hint="eastAsia" w:ascii="宋体" w:hAnsi="宋体" w:cs="宋体"/>
          <w:color w:val="auto"/>
          <w:sz w:val="24"/>
          <w:szCs w:val="24"/>
        </w:rPr>
        <w:t>本项目投标有效期为</w:t>
      </w:r>
      <w:r>
        <w:rPr>
          <w:rFonts w:hint="eastAsia" w:ascii="宋体" w:hAnsi="宋体" w:cs="宋体"/>
          <w:color w:val="auto"/>
          <w:sz w:val="24"/>
          <w:szCs w:val="24"/>
          <w:u w:val="single"/>
        </w:rPr>
        <w:t xml:space="preserve">  90  </w:t>
      </w:r>
      <w:r>
        <w:rPr>
          <w:rFonts w:hint="eastAsia" w:ascii="宋体" w:hAnsi="宋体" w:cs="宋体"/>
          <w:color w:val="auto"/>
          <w:sz w:val="24"/>
          <w:szCs w:val="24"/>
        </w:rPr>
        <w:t>日历天（从投标截止之日算起）。</w:t>
      </w:r>
    </w:p>
    <w:p>
      <w:pPr>
        <w:spacing w:line="400" w:lineRule="exact"/>
        <w:ind w:firstLine="480" w:firstLineChars="200"/>
        <w:rPr>
          <w:rFonts w:ascii="宋体"/>
          <w:color w:val="auto"/>
          <w:sz w:val="24"/>
        </w:rPr>
      </w:pPr>
      <w:r>
        <w:rPr>
          <w:rFonts w:hint="eastAsia" w:ascii="宋体"/>
          <w:color w:val="auto"/>
          <w:sz w:val="24"/>
        </w:rPr>
        <w:t>4.一旦我方成为合同签字人，我方将严格履行合同规定的责任和义务。</w:t>
      </w:r>
    </w:p>
    <w:p>
      <w:pPr>
        <w:spacing w:line="400" w:lineRule="exact"/>
        <w:ind w:firstLine="480" w:firstLineChars="200"/>
        <w:rPr>
          <w:rFonts w:ascii="宋体"/>
          <w:color w:val="auto"/>
          <w:sz w:val="24"/>
        </w:rPr>
      </w:pPr>
      <w:r>
        <w:rPr>
          <w:rFonts w:hint="eastAsia" w:ascii="宋体"/>
          <w:color w:val="auto"/>
          <w:sz w:val="24"/>
        </w:rPr>
        <w:t>5.我方同意按照招标文件的要求，递交金额为人民币</w:t>
      </w:r>
      <w:r>
        <w:rPr>
          <w:rFonts w:hint="eastAsia" w:ascii="宋体"/>
          <w:color w:val="auto"/>
          <w:sz w:val="24"/>
          <w:u w:val="single"/>
        </w:rPr>
        <w:t xml:space="preserve">   </w:t>
      </w:r>
      <w:r>
        <w:rPr>
          <w:rFonts w:hint="eastAsia" w:ascii="宋体"/>
          <w:color w:val="auto"/>
          <w:sz w:val="24"/>
          <w:u w:val="single"/>
          <w:lang w:val="en-US" w:eastAsia="zh-CN"/>
        </w:rPr>
        <w:t>/</w:t>
      </w:r>
      <w:r>
        <w:rPr>
          <w:rFonts w:hint="eastAsia" w:ascii="宋体"/>
          <w:color w:val="auto"/>
          <w:sz w:val="24"/>
          <w:u w:val="single"/>
        </w:rPr>
        <w:t xml:space="preserve"> </w:t>
      </w:r>
      <w:r>
        <w:rPr>
          <w:rFonts w:hint="eastAsia" w:ascii="宋体"/>
          <w:color w:val="auto"/>
          <w:sz w:val="24"/>
        </w:rPr>
        <w:t xml:space="preserve">（大写）的投标保证金。并且承诺，在投标有效期内如果我方撤回投标文件或成为合同签字人后拒绝签订合同，我方将放弃要求退还该保证金的权力。 </w:t>
      </w:r>
    </w:p>
    <w:p>
      <w:pPr>
        <w:spacing w:line="440" w:lineRule="exact"/>
        <w:ind w:firstLine="480" w:firstLineChars="200"/>
        <w:rPr>
          <w:rFonts w:ascii="宋体"/>
          <w:color w:val="auto"/>
          <w:sz w:val="24"/>
        </w:rPr>
      </w:pPr>
      <w:r>
        <w:rPr>
          <w:rFonts w:hint="eastAsia" w:ascii="宋体"/>
          <w:color w:val="auto"/>
          <w:sz w:val="24"/>
        </w:rPr>
        <w:t>6.若我方中标，愿意为本项目提交的纸质投标文件一式三份，其中正本一份、副本二份。</w:t>
      </w:r>
    </w:p>
    <w:p>
      <w:pPr>
        <w:spacing w:line="440" w:lineRule="exact"/>
        <w:ind w:firstLine="480" w:firstLineChars="200"/>
        <w:rPr>
          <w:rFonts w:ascii="宋体"/>
          <w:color w:val="auto"/>
          <w:sz w:val="24"/>
        </w:rPr>
      </w:pPr>
      <w:r>
        <w:rPr>
          <w:rFonts w:hint="eastAsia" w:ascii="宋体"/>
          <w:color w:val="auto"/>
          <w:sz w:val="24"/>
        </w:rPr>
        <w:t>7.我方愿意提供可能另外要求的、与采购投标有关的文件资料，并保证我方已提供和将要提供的文件是真实的、准确的。</w:t>
      </w:r>
    </w:p>
    <w:p>
      <w:pPr>
        <w:spacing w:line="440" w:lineRule="exact"/>
        <w:ind w:firstLine="480" w:firstLineChars="200"/>
        <w:rPr>
          <w:rFonts w:ascii="宋体"/>
          <w:color w:val="auto"/>
          <w:sz w:val="24"/>
        </w:rPr>
      </w:pPr>
      <w:r>
        <w:rPr>
          <w:rFonts w:hint="eastAsia" w:ascii="宋体"/>
          <w:color w:val="auto"/>
          <w:sz w:val="24"/>
        </w:rPr>
        <w:t>8.我单位提供如下通讯地址：</w:t>
      </w:r>
      <w:r>
        <w:rPr>
          <w:rFonts w:hint="eastAsia" w:ascii="宋体"/>
          <w:color w:val="auto"/>
          <w:sz w:val="24"/>
          <w:u w:val="single"/>
        </w:rPr>
        <w:t xml:space="preserve">                电子邮箱（地址）</w:t>
      </w:r>
      <w:r>
        <w:rPr>
          <w:rFonts w:hint="eastAsia" w:ascii="宋体"/>
          <w:color w:val="auto"/>
          <w:sz w:val="24"/>
        </w:rPr>
        <w:t>，确认本项目相关法律文书均通过提供的以上地址送达，相关文书只要发送至以上电子邮箱（地址）即视为送达，投标人愿意承担一切法律后果。</w:t>
      </w:r>
    </w:p>
    <w:p>
      <w:pPr>
        <w:ind w:right="-178" w:rightChars="-85" w:firstLine="2520" w:firstLineChars="1050"/>
        <w:rPr>
          <w:rFonts w:ascii="宋体"/>
          <w:color w:val="auto"/>
          <w:sz w:val="24"/>
          <w:u w:val="single"/>
        </w:rPr>
      </w:pPr>
      <w:r>
        <w:rPr>
          <w:rFonts w:hint="eastAsia" w:ascii="宋体"/>
          <w:color w:val="auto"/>
          <w:sz w:val="24"/>
        </w:rPr>
        <w:t xml:space="preserve">           </w:t>
      </w:r>
    </w:p>
    <w:p>
      <w:pPr>
        <w:spacing w:line="400" w:lineRule="exact"/>
        <w:ind w:firstLine="2520" w:firstLineChars="1200"/>
        <w:rPr>
          <w:rFonts w:ascii="宋体"/>
          <w:color w:val="auto"/>
        </w:rPr>
      </w:pPr>
    </w:p>
    <w:p>
      <w:pPr>
        <w:pStyle w:val="2"/>
        <w:ind w:firstLine="560"/>
        <w:rPr>
          <w:rFonts w:ascii="宋体"/>
          <w:color w:val="auto"/>
          <w:szCs w:val="21"/>
        </w:rPr>
      </w:pPr>
      <w:r>
        <w:rPr>
          <w:rFonts w:hint="eastAsia" w:ascii="宋体"/>
          <w:color w:val="auto"/>
          <w:szCs w:val="21"/>
        </w:rPr>
        <w:t xml:space="preserve">  </w:t>
      </w:r>
    </w:p>
    <w:p>
      <w:pPr>
        <w:rPr>
          <w:color w:val="auto"/>
        </w:rPr>
      </w:pPr>
    </w:p>
    <w:p>
      <w:pPr>
        <w:spacing w:line="408" w:lineRule="auto"/>
        <w:ind w:firstLine="3360" w:firstLineChars="1400"/>
        <w:rPr>
          <w:rFonts w:ascii="宋体"/>
          <w:color w:val="auto"/>
          <w:sz w:val="24"/>
          <w:szCs w:val="24"/>
          <w:u w:val="single"/>
        </w:rPr>
      </w:pPr>
      <w:r>
        <w:rPr>
          <w:rFonts w:hint="eastAsia" w:ascii="宋体" w:hAnsi="宋体"/>
          <w:color w:val="auto"/>
          <w:sz w:val="24"/>
          <w:szCs w:val="24"/>
        </w:rPr>
        <w:t>投标单位：</w:t>
      </w:r>
      <w:r>
        <w:rPr>
          <w:rFonts w:ascii="宋体" w:hAnsi="宋体"/>
          <w:color w:val="auto"/>
          <w:sz w:val="24"/>
          <w:szCs w:val="24"/>
          <w:u w:val="single"/>
        </w:rPr>
        <w:t xml:space="preserve">                              </w:t>
      </w:r>
      <w:r>
        <w:rPr>
          <w:rFonts w:hint="eastAsia"/>
          <w:color w:val="auto"/>
          <w:sz w:val="24"/>
          <w:szCs w:val="24"/>
          <w:u w:val="single"/>
        </w:rPr>
        <w:t>（盖章）</w:t>
      </w:r>
    </w:p>
    <w:p>
      <w:pPr>
        <w:spacing w:line="408" w:lineRule="auto"/>
        <w:ind w:firstLine="3360" w:firstLineChars="1400"/>
        <w:rPr>
          <w:rFonts w:ascii="宋体"/>
          <w:color w:val="auto"/>
          <w:sz w:val="24"/>
          <w:szCs w:val="24"/>
        </w:rPr>
      </w:pPr>
      <w:r>
        <w:rPr>
          <w:rFonts w:hint="eastAsia" w:ascii="宋体" w:hAnsi="宋体"/>
          <w:color w:val="auto"/>
          <w:sz w:val="24"/>
          <w:szCs w:val="24"/>
        </w:rPr>
        <w:t>法定代表人：</w:t>
      </w:r>
      <w:r>
        <w:rPr>
          <w:rFonts w:ascii="宋体" w:hAnsi="宋体"/>
          <w:color w:val="auto"/>
          <w:sz w:val="24"/>
          <w:szCs w:val="24"/>
          <w:u w:val="single"/>
        </w:rPr>
        <w:t xml:space="preserve">                 </w:t>
      </w:r>
      <w:r>
        <w:rPr>
          <w:rFonts w:hint="eastAsia" w:ascii="宋体" w:hAnsi="宋体"/>
          <w:color w:val="auto"/>
          <w:sz w:val="24"/>
          <w:szCs w:val="24"/>
          <w:u w:val="single"/>
        </w:rPr>
        <w:t xml:space="preserve">    </w:t>
      </w:r>
      <w:r>
        <w:rPr>
          <w:rFonts w:ascii="宋体" w:hAnsi="宋体"/>
          <w:color w:val="auto"/>
          <w:sz w:val="24"/>
          <w:szCs w:val="24"/>
          <w:u w:val="single"/>
        </w:rPr>
        <w:t xml:space="preserve">    </w:t>
      </w:r>
      <w:r>
        <w:rPr>
          <w:rFonts w:hint="eastAsia" w:ascii="宋体" w:hAnsi="宋体"/>
          <w:color w:val="auto"/>
          <w:sz w:val="24"/>
          <w:szCs w:val="24"/>
          <w:u w:val="single"/>
        </w:rPr>
        <w:t>（签字或盖章）</w:t>
      </w:r>
    </w:p>
    <w:p>
      <w:pPr>
        <w:spacing w:line="408" w:lineRule="auto"/>
        <w:ind w:firstLine="3360" w:firstLineChars="1400"/>
        <w:rPr>
          <w:rFonts w:ascii="宋体"/>
          <w:color w:val="auto"/>
          <w:sz w:val="24"/>
          <w:szCs w:val="24"/>
        </w:rPr>
      </w:pPr>
      <w:r>
        <w:rPr>
          <w:rFonts w:hint="eastAsia" w:ascii="宋体" w:hAnsi="宋体"/>
          <w:color w:val="auto"/>
          <w:sz w:val="24"/>
          <w:szCs w:val="24"/>
        </w:rPr>
        <w:t>单位地址：</w:t>
      </w:r>
      <w:r>
        <w:rPr>
          <w:rFonts w:ascii="宋体" w:hAnsi="宋体"/>
          <w:color w:val="auto"/>
          <w:sz w:val="24"/>
          <w:szCs w:val="24"/>
          <w:u w:val="single"/>
        </w:rPr>
        <w:t xml:space="preserve">          </w:t>
      </w:r>
      <w:r>
        <w:rPr>
          <w:rFonts w:hint="eastAsia" w:ascii="宋体" w:hAnsi="宋体"/>
          <w:color w:val="auto"/>
          <w:sz w:val="24"/>
          <w:szCs w:val="24"/>
          <w:u w:val="single"/>
        </w:rPr>
        <w:t xml:space="preserve">                         </w:t>
      </w:r>
      <w:r>
        <w:rPr>
          <w:rFonts w:ascii="宋体" w:hAnsi="宋体"/>
          <w:color w:val="auto"/>
          <w:sz w:val="24"/>
          <w:szCs w:val="24"/>
          <w:u w:val="single"/>
        </w:rPr>
        <w:t xml:space="preserve">                                       </w:t>
      </w:r>
    </w:p>
    <w:p>
      <w:pPr>
        <w:spacing w:line="408" w:lineRule="auto"/>
        <w:ind w:firstLine="3360" w:firstLineChars="1400"/>
        <w:rPr>
          <w:rFonts w:ascii="宋体"/>
          <w:color w:val="auto"/>
          <w:sz w:val="24"/>
          <w:szCs w:val="24"/>
          <w:u w:val="single"/>
        </w:rPr>
      </w:pPr>
      <w:r>
        <w:rPr>
          <w:rFonts w:hint="eastAsia" w:ascii="宋体" w:hAnsi="宋体"/>
          <w:color w:val="auto"/>
          <w:sz w:val="24"/>
          <w:szCs w:val="24"/>
        </w:rPr>
        <w:t>邮政编码：</w:t>
      </w:r>
      <w:r>
        <w:rPr>
          <w:rFonts w:ascii="宋体" w:hAnsi="宋体"/>
          <w:color w:val="auto"/>
          <w:sz w:val="24"/>
          <w:szCs w:val="24"/>
          <w:u w:val="single"/>
        </w:rPr>
        <w:t xml:space="preserve">            </w:t>
      </w:r>
      <w:r>
        <w:rPr>
          <w:rFonts w:hint="eastAsia" w:ascii="宋体" w:hAnsi="宋体"/>
          <w:color w:val="auto"/>
          <w:sz w:val="24"/>
          <w:szCs w:val="24"/>
        </w:rPr>
        <w:t>电话：</w:t>
      </w:r>
      <w:r>
        <w:rPr>
          <w:rFonts w:ascii="宋体" w:hAnsi="宋体"/>
          <w:color w:val="auto"/>
          <w:sz w:val="24"/>
          <w:szCs w:val="24"/>
          <w:u w:val="single"/>
        </w:rPr>
        <w:t xml:space="preserve">        </w:t>
      </w:r>
      <w:r>
        <w:rPr>
          <w:rFonts w:hint="eastAsia" w:ascii="宋体" w:hAnsi="宋体"/>
          <w:color w:val="auto"/>
          <w:sz w:val="24"/>
          <w:szCs w:val="24"/>
        </w:rPr>
        <w:t>传真：</w:t>
      </w:r>
      <w:r>
        <w:rPr>
          <w:rFonts w:ascii="宋体" w:hAnsi="宋体"/>
          <w:color w:val="auto"/>
          <w:sz w:val="24"/>
          <w:szCs w:val="24"/>
          <w:u w:val="single"/>
        </w:rPr>
        <w:t xml:space="preserve">               </w:t>
      </w:r>
    </w:p>
    <w:p>
      <w:pPr>
        <w:spacing w:line="408" w:lineRule="auto"/>
        <w:ind w:firstLine="3360" w:firstLineChars="1400"/>
        <w:rPr>
          <w:rFonts w:ascii="宋体"/>
          <w:color w:val="auto"/>
          <w:sz w:val="24"/>
          <w:szCs w:val="24"/>
        </w:rPr>
      </w:pPr>
      <w:r>
        <w:rPr>
          <w:rFonts w:hint="eastAsia" w:ascii="宋体" w:hAnsi="宋体"/>
          <w:color w:val="auto"/>
          <w:sz w:val="24"/>
          <w:szCs w:val="24"/>
        </w:rPr>
        <w:t>日期：</w:t>
      </w:r>
      <w:r>
        <w:rPr>
          <w:rFonts w:ascii="宋体" w:hAnsi="宋体"/>
          <w:color w:val="auto"/>
          <w:sz w:val="24"/>
          <w:szCs w:val="24"/>
          <w:u w:val="single"/>
        </w:rPr>
        <w:t xml:space="preserve">         </w:t>
      </w:r>
      <w:r>
        <w:rPr>
          <w:rFonts w:hint="eastAsia" w:ascii="宋体" w:hAnsi="宋体"/>
          <w:color w:val="auto"/>
          <w:sz w:val="24"/>
          <w:szCs w:val="24"/>
        </w:rPr>
        <w:t>年</w:t>
      </w:r>
      <w:r>
        <w:rPr>
          <w:rFonts w:ascii="宋体" w:hAnsi="宋体"/>
          <w:color w:val="auto"/>
          <w:sz w:val="24"/>
          <w:szCs w:val="24"/>
        </w:rPr>
        <w:t xml:space="preserve"> </w:t>
      </w:r>
      <w:r>
        <w:rPr>
          <w:rFonts w:ascii="宋体" w:hAnsi="宋体"/>
          <w:color w:val="auto"/>
          <w:sz w:val="24"/>
          <w:szCs w:val="24"/>
          <w:u w:val="single"/>
        </w:rPr>
        <w:t xml:space="preserve">           </w:t>
      </w:r>
      <w:r>
        <w:rPr>
          <w:rFonts w:hint="eastAsia" w:ascii="宋体" w:hAnsi="宋体"/>
          <w:color w:val="auto"/>
          <w:sz w:val="24"/>
          <w:szCs w:val="24"/>
        </w:rPr>
        <w:t>月</w:t>
      </w:r>
      <w:r>
        <w:rPr>
          <w:rFonts w:ascii="宋体" w:hAnsi="宋体"/>
          <w:color w:val="auto"/>
          <w:sz w:val="24"/>
          <w:szCs w:val="24"/>
        </w:rPr>
        <w:t xml:space="preserve"> </w:t>
      </w:r>
      <w:r>
        <w:rPr>
          <w:rFonts w:ascii="宋体" w:hAnsi="宋体"/>
          <w:color w:val="auto"/>
          <w:sz w:val="24"/>
          <w:szCs w:val="24"/>
          <w:u w:val="single"/>
        </w:rPr>
        <w:t xml:space="preserve">         </w:t>
      </w:r>
      <w:r>
        <w:rPr>
          <w:rFonts w:hint="eastAsia" w:ascii="宋体" w:hAnsi="宋体"/>
          <w:color w:val="auto"/>
          <w:sz w:val="24"/>
          <w:szCs w:val="24"/>
        </w:rPr>
        <w:t>日</w:t>
      </w:r>
    </w:p>
    <w:p>
      <w:pPr>
        <w:spacing w:line="360" w:lineRule="auto"/>
        <w:jc w:val="center"/>
        <w:rPr>
          <w:rFonts w:ascii="宋体"/>
          <w:color w:val="auto"/>
          <w:sz w:val="32"/>
          <w:szCs w:val="32"/>
        </w:rPr>
      </w:pPr>
    </w:p>
    <w:p>
      <w:pPr>
        <w:ind w:firstLine="420" w:firstLineChars="200"/>
        <w:rPr>
          <w:rFonts w:ascii="仿宋" w:hAnsi="仿宋" w:eastAsia="仿宋" w:cs="仿宋"/>
          <w:color w:val="auto"/>
        </w:rPr>
      </w:pPr>
    </w:p>
    <w:p>
      <w:pPr>
        <w:rPr>
          <w:rFonts w:ascii="仿宋" w:hAnsi="仿宋" w:eastAsia="仿宋" w:cs="仿宋"/>
          <w:b/>
          <w:bCs/>
          <w:color w:val="auto"/>
          <w:kern w:val="0"/>
          <w:sz w:val="30"/>
          <w:szCs w:val="30"/>
        </w:rPr>
      </w:pPr>
      <w:r>
        <w:rPr>
          <w:rFonts w:ascii="仿宋" w:hAnsi="仿宋" w:eastAsia="仿宋" w:cs="仿宋"/>
          <w:b/>
          <w:bCs/>
          <w:color w:val="auto"/>
          <w:kern w:val="0"/>
          <w:sz w:val="30"/>
          <w:szCs w:val="30"/>
        </w:rPr>
        <w:br w:type="page"/>
      </w:r>
    </w:p>
    <w:p>
      <w:pPr>
        <w:pStyle w:val="6"/>
        <w:spacing w:before="0" w:after="0"/>
        <w:rPr>
          <w:rFonts w:ascii="宋体" w:hAnsi="宋体" w:eastAsia="宋体" w:cs="宋体"/>
          <w:color w:val="auto"/>
          <w:kern w:val="2"/>
          <w:sz w:val="28"/>
          <w:szCs w:val="28"/>
        </w:rPr>
      </w:pPr>
      <w:bookmarkStart w:id="99" w:name="_Toc23863"/>
      <w:bookmarkStart w:id="100" w:name="_Toc25509"/>
      <w:r>
        <w:rPr>
          <w:rFonts w:hint="eastAsia" w:ascii="宋体" w:hAnsi="宋体" w:eastAsia="宋体" w:cs="宋体"/>
          <w:color w:val="auto"/>
          <w:kern w:val="2"/>
          <w:sz w:val="28"/>
          <w:szCs w:val="28"/>
        </w:rPr>
        <w:t>第</w:t>
      </w:r>
      <w:r>
        <w:rPr>
          <w:rFonts w:hint="eastAsia" w:ascii="宋体" w:hAnsi="宋体" w:eastAsia="宋体" w:cs="宋体"/>
          <w:color w:val="auto"/>
          <w:kern w:val="2"/>
          <w:sz w:val="28"/>
          <w:szCs w:val="28"/>
          <w:lang w:val="en-US" w:eastAsia="zh-CN"/>
        </w:rPr>
        <w:t>七</w:t>
      </w:r>
      <w:r>
        <w:rPr>
          <w:rFonts w:hint="eastAsia" w:ascii="宋体" w:hAnsi="宋体" w:eastAsia="宋体" w:cs="宋体"/>
          <w:color w:val="auto"/>
          <w:kern w:val="2"/>
          <w:sz w:val="28"/>
          <w:szCs w:val="28"/>
        </w:rPr>
        <w:t>章招标单位、招标代理机构对本招标文件的确认</w:t>
      </w:r>
      <w:bookmarkEnd w:id="99"/>
      <w:bookmarkEnd w:id="100"/>
    </w:p>
    <w:tbl>
      <w:tblPr>
        <w:tblStyle w:val="45"/>
        <w:tblW w:w="0" w:type="auto"/>
        <w:tblInd w:w="-10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41" w:hRule="atLeast"/>
        </w:trPr>
        <w:tc>
          <w:tcPr>
            <w:tcW w:w="9456" w:type="dxa"/>
          </w:tcPr>
          <w:p>
            <w:pPr>
              <w:spacing w:line="320" w:lineRule="atLeast"/>
              <w:ind w:firstLine="560" w:firstLineChars="200"/>
              <w:rPr>
                <w:rFonts w:ascii="宋体" w:hAnsi="宋体" w:cs="宋体"/>
                <w:color w:val="auto"/>
                <w:sz w:val="28"/>
                <w:szCs w:val="28"/>
              </w:rPr>
            </w:pPr>
          </w:p>
          <w:p>
            <w:pPr>
              <w:keepNext w:val="0"/>
              <w:keepLines w:val="0"/>
              <w:pageBreakBefore w:val="0"/>
              <w:widowControl w:val="0"/>
              <w:kinsoku/>
              <w:wordWrap/>
              <w:overflowPunct/>
              <w:topLinePunct w:val="0"/>
              <w:autoSpaceDE/>
              <w:autoSpaceDN/>
              <w:bidi w:val="0"/>
              <w:adjustRightInd/>
              <w:snapToGrid/>
              <w:spacing w:line="700" w:lineRule="exact"/>
              <w:ind w:firstLine="560" w:firstLineChars="200"/>
              <w:jc w:val="left"/>
              <w:textAlignment w:val="auto"/>
              <w:rPr>
                <w:rFonts w:ascii="宋体" w:hAnsi="宋体" w:cs="宋体"/>
                <w:color w:val="auto"/>
                <w:sz w:val="28"/>
                <w:szCs w:val="28"/>
              </w:rPr>
            </w:pPr>
            <w:r>
              <w:rPr>
                <w:rFonts w:hint="eastAsia" w:ascii="宋体" w:hAnsi="宋体" w:cs="宋体"/>
                <w:color w:val="auto"/>
                <w:sz w:val="28"/>
                <w:szCs w:val="28"/>
              </w:rPr>
              <w:t>我单位对</w:t>
            </w:r>
            <w:r>
              <w:rPr>
                <w:rFonts w:hint="eastAsia" w:ascii="宋体" w:hAnsi="宋体" w:cs="宋体"/>
                <w:color w:val="auto"/>
                <w:sz w:val="28"/>
                <w:szCs w:val="28"/>
                <w:u w:val="single"/>
              </w:rPr>
              <w:t xml:space="preserve">  </w:t>
            </w:r>
            <w:r>
              <w:rPr>
                <w:rFonts w:hint="eastAsia" w:ascii="宋体" w:hAnsi="宋体" w:eastAsia="宋体" w:cs="宋体"/>
                <w:color w:val="auto"/>
                <w:sz w:val="28"/>
                <w:szCs w:val="28"/>
                <w:u w:val="single"/>
                <w:lang w:eastAsia="zh-CN"/>
              </w:rPr>
              <w:t>滁州市区公共领域车辆电动化基础设施—低速新能源车充电设施项目跟踪审计</w:t>
            </w:r>
            <w:r>
              <w:rPr>
                <w:rFonts w:hint="eastAsia" w:ascii="宋体" w:hAnsi="宋体" w:eastAsia="宋体" w:cs="宋体"/>
                <w:color w:val="auto"/>
                <w:sz w:val="28"/>
                <w:szCs w:val="28"/>
                <w:u w:val="single"/>
              </w:rPr>
              <w:t xml:space="preserve">  </w:t>
            </w:r>
            <w:r>
              <w:rPr>
                <w:rFonts w:hint="eastAsia" w:ascii="宋体" w:hAnsi="宋体" w:cs="宋体"/>
                <w:color w:val="auto"/>
                <w:sz w:val="28"/>
                <w:szCs w:val="28"/>
              </w:rPr>
              <w:t>的招标文件进行确认。</w:t>
            </w:r>
          </w:p>
          <w:p>
            <w:pPr>
              <w:spacing w:line="320" w:lineRule="atLeast"/>
              <w:ind w:firstLine="560" w:firstLineChars="200"/>
              <w:rPr>
                <w:rFonts w:ascii="宋体" w:hAnsi="宋体" w:cs="宋体"/>
                <w:color w:val="auto"/>
                <w:sz w:val="28"/>
                <w:szCs w:val="28"/>
              </w:rPr>
            </w:pPr>
          </w:p>
          <w:p>
            <w:pPr>
              <w:spacing w:line="480" w:lineRule="auto"/>
              <w:ind w:firstLine="560" w:firstLineChars="200"/>
              <w:rPr>
                <w:rFonts w:hint="eastAsia" w:ascii="宋体" w:hAnsi="宋体" w:eastAsia="宋体" w:cs="宋体"/>
                <w:color w:val="auto"/>
                <w:sz w:val="30"/>
                <w:szCs w:val="30"/>
                <w:lang w:eastAsia="zh-CN"/>
              </w:rPr>
            </w:pPr>
            <w:r>
              <w:rPr>
                <w:rFonts w:hint="eastAsia" w:ascii="宋体" w:hAnsi="宋体" w:cs="宋体"/>
                <w:color w:val="auto"/>
                <w:sz w:val="28"/>
                <w:szCs w:val="28"/>
              </w:rPr>
              <w:t>招标人：</w:t>
            </w:r>
            <w:r>
              <w:rPr>
                <w:rFonts w:hint="eastAsia" w:ascii="宋体" w:hAnsi="宋体" w:cs="宋体"/>
                <w:color w:val="auto"/>
                <w:sz w:val="30"/>
                <w:szCs w:val="30"/>
                <w:lang w:eastAsia="zh-CN"/>
              </w:rPr>
              <w:t>滁州工投新能源开发有限公司</w:t>
            </w:r>
          </w:p>
          <w:p>
            <w:pPr>
              <w:spacing w:line="320" w:lineRule="atLeast"/>
              <w:ind w:firstLine="560" w:firstLineChars="200"/>
              <w:rPr>
                <w:rFonts w:hint="eastAsia" w:ascii="宋体" w:hAnsi="宋体" w:eastAsia="宋体" w:cs="宋体"/>
                <w:color w:val="auto"/>
                <w:sz w:val="28"/>
                <w:szCs w:val="28"/>
                <w:lang w:eastAsia="zh-CN"/>
              </w:rPr>
            </w:pPr>
            <w:r>
              <w:rPr>
                <w:rFonts w:hint="eastAsia" w:ascii="宋体" w:hAnsi="宋体" w:cs="宋体"/>
                <w:color w:val="auto"/>
                <w:sz w:val="28"/>
                <w:szCs w:val="28"/>
              </w:rPr>
              <w:t>联系人：</w:t>
            </w:r>
            <w:r>
              <w:rPr>
                <w:rFonts w:hint="eastAsia" w:ascii="宋体" w:hAnsi="宋体" w:cs="宋体"/>
                <w:color w:val="auto"/>
                <w:sz w:val="28"/>
                <w:szCs w:val="28"/>
                <w:lang w:eastAsia="zh-CN"/>
              </w:rPr>
              <w:t>姚烨</w:t>
            </w:r>
          </w:p>
          <w:p>
            <w:pPr>
              <w:spacing w:line="320" w:lineRule="atLeast"/>
              <w:ind w:firstLine="560" w:firstLineChars="200"/>
              <w:rPr>
                <w:rFonts w:hint="eastAsia" w:ascii="宋体" w:hAnsi="宋体" w:eastAsia="宋体" w:cs="宋体"/>
                <w:color w:val="auto"/>
                <w:sz w:val="28"/>
                <w:szCs w:val="28"/>
                <w:lang w:eastAsia="zh-CN"/>
              </w:rPr>
            </w:pPr>
            <w:r>
              <w:rPr>
                <w:rFonts w:hint="eastAsia" w:ascii="宋体" w:hAnsi="宋体" w:cs="宋体"/>
                <w:color w:val="auto"/>
                <w:sz w:val="28"/>
                <w:szCs w:val="28"/>
              </w:rPr>
              <w:t>联系方式：</w:t>
            </w:r>
            <w:r>
              <w:rPr>
                <w:rFonts w:hint="eastAsia" w:ascii="宋体" w:hAnsi="宋体" w:cs="宋体"/>
                <w:color w:val="auto"/>
                <w:sz w:val="28"/>
                <w:szCs w:val="28"/>
                <w:lang w:eastAsia="zh-CN"/>
              </w:rPr>
              <w:t>18005500525</w:t>
            </w:r>
          </w:p>
          <w:p>
            <w:pPr>
              <w:spacing w:line="500" w:lineRule="exact"/>
              <w:ind w:firstLine="281" w:firstLineChars="100"/>
              <w:rPr>
                <w:rFonts w:ascii="宋体" w:hAnsi="宋体" w:cs="宋体"/>
                <w:b/>
                <w:bCs/>
                <w:color w:val="auto"/>
                <w:sz w:val="28"/>
                <w:szCs w:val="28"/>
              </w:rPr>
            </w:pPr>
          </w:p>
          <w:p>
            <w:pPr>
              <w:spacing w:line="500" w:lineRule="exact"/>
              <w:ind w:firstLine="280" w:firstLineChars="100"/>
              <w:rPr>
                <w:rFonts w:ascii="宋体" w:hAnsi="宋体" w:cs="宋体"/>
                <w:color w:val="auto"/>
                <w:sz w:val="28"/>
                <w:szCs w:val="28"/>
              </w:rPr>
            </w:pPr>
            <w:r>
              <w:rPr>
                <w:rFonts w:hint="eastAsia" w:ascii="宋体" w:hAnsi="宋体" w:cs="宋体"/>
                <w:color w:val="auto"/>
                <w:sz w:val="28"/>
                <w:szCs w:val="28"/>
              </w:rPr>
              <w:t xml:space="preserve">                                               （单位盖章）</w:t>
            </w:r>
          </w:p>
          <w:p>
            <w:pPr>
              <w:ind w:firstLine="5320" w:firstLineChars="1900"/>
              <w:rPr>
                <w:rFonts w:ascii="宋体" w:hAnsi="宋体" w:cs="宋体"/>
                <w:color w:val="auto"/>
                <w:sz w:val="28"/>
                <w:szCs w:val="28"/>
              </w:rPr>
            </w:pPr>
            <w:r>
              <w:rPr>
                <w:rFonts w:hint="eastAsia" w:ascii="宋体" w:hAnsi="宋体" w:cs="宋体"/>
                <w:color w:val="auto"/>
                <w:sz w:val="28"/>
                <w:szCs w:val="28"/>
              </w:rPr>
              <w:t xml:space="preserve">           202</w:t>
            </w:r>
            <w:r>
              <w:rPr>
                <w:rFonts w:hint="eastAsia" w:ascii="宋体" w:hAnsi="宋体" w:cs="宋体"/>
                <w:color w:val="auto"/>
                <w:sz w:val="28"/>
                <w:szCs w:val="28"/>
                <w:lang w:val="en-US" w:eastAsia="zh-CN"/>
              </w:rPr>
              <w:t>3</w:t>
            </w:r>
            <w:r>
              <w:rPr>
                <w:rFonts w:hint="eastAsia" w:ascii="宋体" w:hAnsi="宋体" w:cs="宋体"/>
                <w:color w:val="auto"/>
                <w:sz w:val="28"/>
                <w:szCs w:val="28"/>
              </w:rPr>
              <w:t>年</w:t>
            </w:r>
            <w:r>
              <w:rPr>
                <w:rFonts w:hint="eastAsia" w:ascii="宋体" w:hAnsi="宋体" w:cs="宋体"/>
                <w:color w:val="auto"/>
                <w:sz w:val="28"/>
                <w:szCs w:val="28"/>
                <w:lang w:val="en-US" w:eastAsia="zh-CN"/>
              </w:rPr>
              <w:t>3</w:t>
            </w:r>
            <w:r>
              <w:rPr>
                <w:rFonts w:hint="eastAsia" w:ascii="宋体" w:hAnsi="宋体" w:cs="宋体"/>
                <w:color w:val="auto"/>
                <w:sz w:val="28"/>
                <w:szCs w:val="28"/>
              </w:rPr>
              <w:t>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11" w:hRule="atLeast"/>
        </w:trPr>
        <w:tc>
          <w:tcPr>
            <w:tcW w:w="9456" w:type="dxa"/>
          </w:tcPr>
          <w:p>
            <w:pPr>
              <w:spacing w:line="320" w:lineRule="atLeast"/>
              <w:ind w:firstLine="560" w:firstLineChars="200"/>
              <w:rPr>
                <w:rFonts w:ascii="宋体" w:hAnsi="宋体" w:cs="宋体"/>
                <w:color w:val="auto"/>
                <w:sz w:val="28"/>
                <w:szCs w:val="28"/>
              </w:rPr>
            </w:pPr>
          </w:p>
          <w:p>
            <w:pPr>
              <w:spacing w:line="320" w:lineRule="atLeast"/>
              <w:ind w:firstLine="560" w:firstLineChars="200"/>
              <w:rPr>
                <w:rFonts w:ascii="宋体" w:hAnsi="宋体" w:cs="宋体"/>
                <w:color w:val="auto"/>
                <w:sz w:val="28"/>
                <w:szCs w:val="28"/>
              </w:rPr>
            </w:pPr>
            <w:r>
              <w:rPr>
                <w:rFonts w:hint="eastAsia" w:ascii="宋体" w:hAnsi="宋体" w:cs="宋体"/>
                <w:color w:val="auto"/>
                <w:sz w:val="28"/>
                <w:szCs w:val="28"/>
              </w:rPr>
              <w:t>招标代理机构：滁州市城投工程咨询管理有限公司</w:t>
            </w:r>
          </w:p>
          <w:p>
            <w:pPr>
              <w:spacing w:line="320" w:lineRule="atLeast"/>
              <w:ind w:firstLine="560" w:firstLineChars="200"/>
              <w:rPr>
                <w:rFonts w:hint="eastAsia" w:ascii="宋体" w:hAnsi="宋体" w:eastAsia="宋体" w:cs="宋体"/>
                <w:color w:val="auto"/>
                <w:sz w:val="28"/>
                <w:szCs w:val="28"/>
                <w:lang w:eastAsia="zh-CN"/>
              </w:rPr>
            </w:pPr>
            <w:r>
              <w:rPr>
                <w:rFonts w:hint="eastAsia" w:ascii="宋体" w:hAnsi="宋体" w:cs="宋体"/>
                <w:color w:val="auto"/>
                <w:sz w:val="28"/>
                <w:szCs w:val="28"/>
              </w:rPr>
              <w:t>联系人：</w:t>
            </w:r>
            <w:r>
              <w:rPr>
                <w:rFonts w:hint="eastAsia" w:ascii="宋体" w:hAnsi="宋体" w:cs="宋体"/>
                <w:color w:val="auto"/>
                <w:sz w:val="28"/>
                <w:szCs w:val="28"/>
                <w:lang w:eastAsia="zh-CN"/>
              </w:rPr>
              <w:t>王芳</w:t>
            </w:r>
          </w:p>
          <w:p>
            <w:pPr>
              <w:spacing w:line="320" w:lineRule="atLeast"/>
              <w:ind w:firstLine="560" w:firstLineChars="200"/>
              <w:rPr>
                <w:rFonts w:hint="eastAsia" w:ascii="宋体" w:hAnsi="宋体" w:eastAsia="宋体" w:cs="宋体"/>
                <w:color w:val="auto"/>
                <w:sz w:val="28"/>
                <w:szCs w:val="28"/>
                <w:lang w:eastAsia="zh-CN"/>
              </w:rPr>
            </w:pPr>
            <w:r>
              <w:rPr>
                <w:rFonts w:hint="eastAsia" w:ascii="宋体" w:hAnsi="宋体" w:cs="宋体"/>
                <w:color w:val="auto"/>
                <w:sz w:val="28"/>
                <w:szCs w:val="28"/>
              </w:rPr>
              <w:t>联系电话： 0550-351951</w:t>
            </w:r>
            <w:r>
              <w:rPr>
                <w:rFonts w:hint="eastAsia" w:ascii="宋体" w:hAnsi="宋体" w:cs="宋体"/>
                <w:color w:val="auto"/>
                <w:sz w:val="28"/>
                <w:szCs w:val="28"/>
                <w:lang w:val="en-US" w:eastAsia="zh-CN"/>
              </w:rPr>
              <w:t>9</w:t>
            </w:r>
            <w:r>
              <w:rPr>
                <w:rFonts w:hint="eastAsia" w:ascii="宋体" w:hAnsi="宋体" w:cs="宋体"/>
                <w:color w:val="auto"/>
                <w:sz w:val="28"/>
                <w:szCs w:val="28"/>
              </w:rPr>
              <w:t xml:space="preserve">   </w:t>
            </w:r>
            <w:r>
              <w:rPr>
                <w:rFonts w:hint="eastAsia" w:ascii="宋体" w:hAnsi="宋体" w:cs="宋体"/>
                <w:color w:val="auto"/>
                <w:sz w:val="28"/>
                <w:szCs w:val="28"/>
                <w:lang w:eastAsia="zh-CN"/>
              </w:rPr>
              <w:t>18955055067</w:t>
            </w:r>
          </w:p>
          <w:p>
            <w:pPr>
              <w:rPr>
                <w:rFonts w:ascii="宋体" w:hAnsi="宋体" w:cs="宋体"/>
                <w:color w:val="auto"/>
                <w:sz w:val="28"/>
                <w:szCs w:val="28"/>
              </w:rPr>
            </w:pPr>
          </w:p>
          <w:p>
            <w:pPr>
              <w:ind w:firstLine="5320" w:firstLineChars="1900"/>
              <w:rPr>
                <w:rFonts w:ascii="宋体" w:hAnsi="宋体" w:cs="宋体"/>
                <w:color w:val="auto"/>
                <w:sz w:val="28"/>
                <w:szCs w:val="28"/>
              </w:rPr>
            </w:pPr>
            <w:r>
              <w:rPr>
                <w:rFonts w:hint="eastAsia" w:ascii="宋体" w:hAnsi="宋体" w:cs="宋体"/>
                <w:color w:val="auto"/>
                <w:sz w:val="28"/>
                <w:szCs w:val="28"/>
              </w:rPr>
              <w:t xml:space="preserve">            （单位盖章）</w:t>
            </w:r>
          </w:p>
          <w:p>
            <w:pPr>
              <w:ind w:firstLine="4900" w:firstLineChars="1750"/>
              <w:rPr>
                <w:rFonts w:ascii="宋体" w:hAnsi="宋体" w:cs="宋体"/>
                <w:color w:val="auto"/>
                <w:sz w:val="28"/>
                <w:szCs w:val="28"/>
              </w:rPr>
            </w:pPr>
            <w:r>
              <w:rPr>
                <w:rFonts w:hint="eastAsia" w:ascii="宋体" w:hAnsi="宋体" w:cs="宋体"/>
                <w:color w:val="auto"/>
                <w:sz w:val="28"/>
                <w:szCs w:val="28"/>
              </w:rPr>
              <w:t xml:space="preserve">              202</w:t>
            </w:r>
            <w:r>
              <w:rPr>
                <w:rFonts w:hint="eastAsia" w:ascii="宋体" w:hAnsi="宋体" w:cs="宋体"/>
                <w:color w:val="auto"/>
                <w:sz w:val="28"/>
                <w:szCs w:val="28"/>
                <w:lang w:val="en-US" w:eastAsia="zh-CN"/>
              </w:rPr>
              <w:t>3</w:t>
            </w:r>
            <w:r>
              <w:rPr>
                <w:rFonts w:hint="eastAsia" w:ascii="宋体" w:hAnsi="宋体" w:cs="宋体"/>
                <w:color w:val="auto"/>
                <w:sz w:val="28"/>
                <w:szCs w:val="28"/>
              </w:rPr>
              <w:t>年</w:t>
            </w:r>
            <w:r>
              <w:rPr>
                <w:rFonts w:hint="eastAsia" w:ascii="宋体" w:hAnsi="宋体" w:cs="宋体"/>
                <w:color w:val="auto"/>
                <w:sz w:val="28"/>
                <w:szCs w:val="28"/>
                <w:lang w:val="en-US" w:eastAsia="zh-CN"/>
              </w:rPr>
              <w:t>3</w:t>
            </w:r>
            <w:r>
              <w:rPr>
                <w:rFonts w:hint="eastAsia" w:ascii="宋体" w:hAnsi="宋体" w:cs="宋体"/>
                <w:color w:val="auto"/>
                <w:sz w:val="28"/>
                <w:szCs w:val="28"/>
              </w:rPr>
              <w:t>月</w:t>
            </w:r>
          </w:p>
        </w:tc>
      </w:tr>
    </w:tbl>
    <w:p>
      <w:pPr>
        <w:pStyle w:val="19"/>
        <w:jc w:val="left"/>
        <w:rPr>
          <w:rFonts w:ascii="仿宋" w:hAnsi="仿宋" w:eastAsia="仿宋" w:cs="仿宋"/>
          <w:color w:val="auto"/>
          <w:kern w:val="0"/>
          <w:sz w:val="24"/>
          <w:szCs w:val="24"/>
        </w:rPr>
      </w:pPr>
    </w:p>
    <w:sectPr>
      <w:footerReference r:id="rId10" w:type="default"/>
      <w:pgSz w:w="11906" w:h="16838"/>
      <w:pgMar w:top="935" w:right="1106" w:bottom="936" w:left="1259" w:header="680" w:footer="680" w:gutter="0"/>
      <w:cols w:space="0" w:num="1"/>
      <w:docGrid w:type="lines" w:linePitch="318"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0000000000000000000"/>
    <w:charset w:val="86"/>
    <w:family w:val="modern"/>
    <w:pitch w:val="default"/>
    <w:sig w:usb0="00000000" w:usb1="00000000" w:usb2="00000010" w:usb3="00000000" w:csb0="00040000" w:csb1="00000000"/>
  </w:font>
  <w:font w:name="楷体_GB2312">
    <w:altName w:val="楷体"/>
    <w:panose1 w:val="00000000000000000000"/>
    <w:charset w:val="86"/>
    <w:family w:val="modern"/>
    <w:pitch w:val="default"/>
    <w:sig w:usb0="00000000" w:usb1="00000000" w:usb2="00000010" w:usb3="00000000" w:csb0="00040000" w:csb1="00000000"/>
  </w:font>
  <w:font w:name="monospace">
    <w:altName w:val="Segoe Print"/>
    <w:panose1 w:val="00000000000000000000"/>
    <w:charset w:val="00"/>
    <w:family w:val="auto"/>
    <w:pitch w:val="default"/>
    <w:sig w:usb0="00000000" w:usb1="00000000" w:usb2="00000000" w:usb3="00000000" w:csb0="00000001" w:csb1="00000000"/>
  </w:font>
  <w:font w:name="华文细黑">
    <w:altName w:val="微软雅黑"/>
    <w:panose1 w:val="02010600040101010101"/>
    <w:charset w:val="86"/>
    <w:family w:val="auto"/>
    <w:pitch w:val="default"/>
    <w:sig w:usb0="00000000" w:usb1="00000000" w:usb2="00000000" w:usb3="00000000" w:csb0="0004009F" w:csb1="DFD70000"/>
  </w:font>
  <w:font w:name="Tahoma">
    <w:panose1 w:val="020B0604030504040204"/>
    <w:charset w:val="00"/>
    <w:family w:val="swiss"/>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9"/>
      <w:rPr>
        <w:rStyle w:val="49"/>
      </w:rPr>
    </w:pPr>
  </w:p>
  <w:p>
    <w:pPr>
      <w:pStyle w:val="29"/>
      <w:ind w:right="360"/>
      <w:rPr>
        <w:kern w:val="0"/>
      </w:rPr>
    </w:pPr>
    <w:r>
      <mc:AlternateContent>
        <mc:Choice Requires="wps">
          <w:drawing>
            <wp:anchor distT="0" distB="0" distL="114300" distR="114300" simplePos="0" relativeHeight="251659264" behindDoc="0" locked="0" layoutInCell="1" allowOverlap="1">
              <wp:simplePos x="0" y="0"/>
              <wp:positionH relativeFrom="margin">
                <wp:posOffset>2400300</wp:posOffset>
              </wp:positionH>
              <wp:positionV relativeFrom="paragraph">
                <wp:posOffset>172720</wp:posOffset>
              </wp:positionV>
              <wp:extent cx="1285875" cy="198120"/>
              <wp:effectExtent l="0" t="0" r="0" b="0"/>
              <wp:wrapNone/>
              <wp:docPr id="2" name="文本框2"/>
              <wp:cNvGraphicFramePr/>
              <a:graphic xmlns:a="http://schemas.openxmlformats.org/drawingml/2006/main">
                <a:graphicData uri="http://schemas.microsoft.com/office/word/2010/wordprocessingShape">
                  <wps:wsp>
                    <wps:cNvSpPr/>
                    <wps:spPr>
                      <a:xfrm>
                        <a:off x="0" y="0"/>
                        <a:ext cx="1285875" cy="198120"/>
                      </a:xfrm>
                      <a:prstGeom prst="rect">
                        <a:avLst/>
                      </a:prstGeom>
                      <a:noFill/>
                      <a:ln>
                        <a:noFill/>
                      </a:ln>
                      <a:effectLst/>
                    </wps:spPr>
                    <wps:txbx>
                      <w:txbxContent>
                        <w:p/>
                      </w:txbxContent>
                    </wps:txbx>
                    <wps:bodyPr lIns="0" tIns="0" rIns="0" bIns="0" upright="1"/>
                  </wps:wsp>
                </a:graphicData>
              </a:graphic>
            </wp:anchor>
          </w:drawing>
        </mc:Choice>
        <mc:Fallback>
          <w:pict>
            <v:rect id="文本框2" o:spid="_x0000_s1026" o:spt="1" style="position:absolute;left:0pt;margin-left:189pt;margin-top:13.6pt;height:15.6pt;width:101.25pt;mso-position-horizontal-relative:margin;z-index:251659264;mso-width-relative:page;mso-height-relative:page;" filled="f" stroked="f" coordsize="21600,21600" o:gfxdata="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IksdxLaAAAACQEAAA8AAAAAAAAAAQAgAAAAIgAAAGRycy9kb3ducmV2LnhtbFBLAQIU&#10;ABQAAAAIAIdO4kBcxk6auAEAAHUDAAAOAAAAAAAAAAEAIAAAACkBAABkcnMvZTJvRG9jLnhtbFBL&#10;BQYAAAAABgAGAFkBAABTBQAAAAA=&#10;">
              <v:fill on="f" focussize="0,0"/>
              <v:stroke on="f"/>
              <v:imagedata o:title=""/>
              <o:lock v:ext="edit" aspectratio="f"/>
              <v:textbox inset="0mm,0mm,0mm,0mm">
                <w:txbxContent>
                  <w:p/>
                </w:txbxContent>
              </v:textbox>
            </v:rect>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9"/>
      <w:tabs>
        <w:tab w:val="center" w:pos="7483"/>
        <w:tab w:val="clear" w:pos="4153"/>
      </w:tabs>
    </w:pPr>
    <w:r>
      <w:tab/>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9"/>
      <w:rPr>
        <w:rStyle w:val="49"/>
      </w:rPr>
    </w:pPr>
  </w:p>
  <w:p>
    <w:pPr>
      <w:pStyle w:val="29"/>
      <w:ind w:right="360"/>
      <w:rPr>
        <w:kern w:val="0"/>
      </w:rPr>
    </w:pPr>
    <w:r>
      <mc:AlternateContent>
        <mc:Choice Requires="wps">
          <w:drawing>
            <wp:anchor distT="0" distB="0" distL="114300" distR="114300" simplePos="0" relativeHeight="251660288" behindDoc="0" locked="0" layoutInCell="1" allowOverlap="1">
              <wp:simplePos x="0" y="0"/>
              <wp:positionH relativeFrom="margin">
                <wp:posOffset>2400300</wp:posOffset>
              </wp:positionH>
              <wp:positionV relativeFrom="paragraph">
                <wp:posOffset>172720</wp:posOffset>
              </wp:positionV>
              <wp:extent cx="1285875" cy="198120"/>
              <wp:effectExtent l="0" t="0" r="0" b="0"/>
              <wp:wrapNone/>
              <wp:docPr id="5" name="文本框2"/>
              <wp:cNvGraphicFramePr/>
              <a:graphic xmlns:a="http://schemas.openxmlformats.org/drawingml/2006/main">
                <a:graphicData uri="http://schemas.microsoft.com/office/word/2010/wordprocessingShape">
                  <wps:wsp>
                    <wps:cNvSpPr/>
                    <wps:spPr>
                      <a:xfrm>
                        <a:off x="0" y="0"/>
                        <a:ext cx="1285875" cy="198120"/>
                      </a:xfrm>
                      <a:prstGeom prst="rect">
                        <a:avLst/>
                      </a:prstGeom>
                      <a:noFill/>
                      <a:ln>
                        <a:noFill/>
                      </a:ln>
                      <a:effectLst/>
                    </wps:spPr>
                    <wps:txbx>
                      <w:txbxContent>
                        <w:p/>
                      </w:txbxContent>
                    </wps:txbx>
                    <wps:bodyPr lIns="0" tIns="0" rIns="0" bIns="0" upright="1"/>
                  </wps:wsp>
                </a:graphicData>
              </a:graphic>
            </wp:anchor>
          </w:drawing>
        </mc:Choice>
        <mc:Fallback>
          <w:pict>
            <v:rect id="文本框2" o:spid="_x0000_s1026" o:spt="1" style="position:absolute;left:0pt;margin-left:189pt;margin-top:13.6pt;height:15.6pt;width:101.25pt;mso-position-horizontal-relative:margin;z-index:251660288;mso-width-relative:page;mso-height-relative:page;" filled="f" stroked="f" coordsize="21600,21600" o:gfxdata="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IksdxLaAAAACQEAAA8AAAAAAAAAAQAgAAAAIgAAAGRycy9kb3ducmV2LnhtbFBLAQIU&#10;ABQAAAAIAIdO4kAQQliKuAEAAHUDAAAOAAAAAAAAAAEAIAAAACkBAABkcnMvZTJvRG9jLnhtbFBL&#10;BQYAAAAABgAGAFkBAABTBQAAAAA=&#10;">
              <v:fill on="f" focussize="0,0"/>
              <v:stroke on="f"/>
              <v:imagedata o:title=""/>
              <o:lock v:ext="edit" aspectratio="f"/>
              <v:textbox inset="0mm,0mm,0mm,0mm">
                <w:txbxContent>
                  <w:p/>
                </w:txbxContent>
              </v:textbox>
            </v:rect>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9"/>
      <w:tabs>
        <w:tab w:val="center" w:pos="7483"/>
        <w:tab w:val="clear" w:pos="4153"/>
      </w:tabs>
    </w:pPr>
    <w: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103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pPr>
                            <w:pStyle w:val="29"/>
                          </w:pPr>
                          <w:r>
                            <w:fldChar w:fldCharType="begin"/>
                          </w:r>
                          <w:r>
                            <w:instrText xml:space="preserve"> PAGE  \* MERGEFORMAT </w:instrText>
                          </w:r>
                          <w:r>
                            <w:fldChar w:fldCharType="separate"/>
                          </w:r>
                          <w:r>
                            <w:t></w:t>
                          </w:r>
                          <w:r>
                            <w:fldChar w:fldCharType="end"/>
                          </w:r>
                        </w:p>
                      </w:txbxContent>
                    </wps:txbx>
                    <wps:bodyPr wrap="none" lIns="0" tIns="0" rIns="0" bIns="0" upright="1">
                      <a:spAutoFit/>
                    </wps:bodyPr>
                  </wps:wsp>
                </a:graphicData>
              </a:graphic>
            </wp:anchor>
          </w:drawing>
        </mc:Choice>
        <mc:Fallback>
          <w:pict>
            <v:shape id="文本框 1033"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">
              <v:fill on="f" focussize="0,0"/>
              <v:stroke on="f"/>
              <v:imagedata o:title=""/>
              <o:lock v:ext="edit" aspectratio="f"/>
              <v:textbox inset="0mm,0mm,0mm,0mm" style="mso-fit-shape-to-text:t;">
                <w:txbxContent>
                  <w:p>
                    <w:pPr>
                      <w:pStyle w:val="29"/>
                    </w:pPr>
                    <w:r>
                      <w:fldChar w:fldCharType="begin"/>
                    </w:r>
                    <w:r>
                      <w:instrText xml:space="preserve"> PAGE  \* MERGEFORMAT </w:instrText>
                    </w:r>
                    <w:r>
                      <w:fldChar w:fldCharType="separate"/>
                    </w:r>
                    <w:r>
                      <w:t></w:t>
                    </w:r>
                    <w:r>
                      <w:fldChar w:fldCharType="end"/>
                    </w:r>
                  </w:p>
                </w:txbxContent>
              </v:textbox>
            </v:shape>
          </w:pict>
        </mc:Fallback>
      </mc:AlternateContent>
    </w:r>
    <w:r>
      <w:tab/>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9"/>
      <w:tabs>
        <w:tab w:val="clear" w:pos="4153"/>
        <w:tab w:val="clear" w:pos="8306"/>
      </w:tabs>
      <w:rPr>
        <w:rFonts w:hint="eastAsia"/>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29"/>
                          </w:pPr>
                          <w:r>
                            <w:fldChar w:fldCharType="begin"/>
                          </w:r>
                          <w:r>
                            <w:instrText xml:space="preserve"> PAGE  \* MERGEFORMAT </w:instrText>
                          </w:r>
                          <w:r>
                            <w:fldChar w:fldCharType="separate"/>
                          </w:r>
                          <w:r>
                            <w:t>1</w:t>
                          </w:r>
                          <w: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pPr>
                      <w:pStyle w:val="29"/>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9"/>
      <w:rPr>
        <w:rStyle w:val="49"/>
      </w:rPr>
    </w:pPr>
    <w: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9"/>
                          </w:pPr>
                          <w:r>
                            <w:fldChar w:fldCharType="begin"/>
                          </w:r>
                          <w:r>
                            <w:instrText xml:space="preserve"> PAGE  \* MERGEFORMAT </w:instrText>
                          </w:r>
                          <w:r>
                            <w:fldChar w:fldCharType="separate"/>
                          </w:r>
                          <w:r>
                            <w:t>14</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rd1wwqAgAAVw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Mrd1wwqAgAAVwQAAA4AAAAAAAAAAQAgAAAAHwEAAGRycy9lMm9Eb2MueG1sUEsFBgAAAAAGAAYA&#10;WQEAALsFAAAAAA==&#10;">
              <v:fill on="f" focussize="0,0"/>
              <v:stroke on="f" weight="0.5pt"/>
              <v:imagedata o:title=""/>
              <o:lock v:ext="edit" aspectratio="f"/>
              <v:textbox inset="0mm,0mm,0mm,0mm" style="mso-fit-shape-to-text:t;">
                <w:txbxContent>
                  <w:p>
                    <w:pPr>
                      <w:pStyle w:val="29"/>
                    </w:pPr>
                    <w:r>
                      <w:fldChar w:fldCharType="begin"/>
                    </w:r>
                    <w:r>
                      <w:instrText xml:space="preserve"> PAGE  \* MERGEFORMAT </w:instrText>
                    </w:r>
                    <w:r>
                      <w:fldChar w:fldCharType="separate"/>
                    </w:r>
                    <w:r>
                      <w:t>14</w:t>
                    </w:r>
                    <w:r>
                      <w:fldChar w:fldCharType="end"/>
                    </w:r>
                  </w:p>
                </w:txbxContent>
              </v:textbox>
            </v:shape>
          </w:pict>
        </mc:Fallback>
      </mc:AlternateContent>
    </w:r>
  </w:p>
  <w:p>
    <w:pPr>
      <w:pStyle w:val="29"/>
      <w:ind w:right="360"/>
      <w:rPr>
        <w:kern w:val="0"/>
      </w:rPr>
    </w:pPr>
    <w:r>
      <mc:AlternateContent>
        <mc:Choice Requires="wps">
          <w:drawing>
            <wp:anchor distT="0" distB="0" distL="114300" distR="114300" simplePos="0" relativeHeight="251661312" behindDoc="0" locked="0" layoutInCell="1" allowOverlap="1">
              <wp:simplePos x="0" y="0"/>
              <wp:positionH relativeFrom="margin">
                <wp:posOffset>2400300</wp:posOffset>
              </wp:positionH>
              <wp:positionV relativeFrom="paragraph">
                <wp:posOffset>172720</wp:posOffset>
              </wp:positionV>
              <wp:extent cx="1285875" cy="198120"/>
              <wp:effectExtent l="0" t="0" r="0" b="0"/>
              <wp:wrapNone/>
              <wp:docPr id="8" name="文本框2"/>
              <wp:cNvGraphicFramePr/>
              <a:graphic xmlns:a="http://schemas.openxmlformats.org/drawingml/2006/main">
                <a:graphicData uri="http://schemas.microsoft.com/office/word/2010/wordprocessingShape">
                  <wps:wsp>
                    <wps:cNvSpPr/>
                    <wps:spPr>
                      <a:xfrm>
                        <a:off x="0" y="0"/>
                        <a:ext cx="1285875" cy="198120"/>
                      </a:xfrm>
                      <a:prstGeom prst="rect">
                        <a:avLst/>
                      </a:prstGeom>
                      <a:noFill/>
                      <a:ln>
                        <a:noFill/>
                      </a:ln>
                      <a:effectLst/>
                    </wps:spPr>
                    <wps:txbx>
                      <w:txbxContent>
                        <w:p/>
                      </w:txbxContent>
                    </wps:txbx>
                    <wps:bodyPr lIns="0" tIns="0" rIns="0" bIns="0" upright="1"/>
                  </wps:wsp>
                </a:graphicData>
              </a:graphic>
            </wp:anchor>
          </w:drawing>
        </mc:Choice>
        <mc:Fallback>
          <w:pict>
            <v:rect id="文本框2" o:spid="_x0000_s1026" o:spt="1" style="position:absolute;left:0pt;margin-left:189pt;margin-top:13.6pt;height:15.6pt;width:101.25pt;mso-position-horizontal-relative:margin;z-index:251661312;mso-width-relative:page;mso-height-relative:page;" filled="f" stroked="f" coordsize="21600,21600" o:gfxdata="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IksdxLaAAAACQEAAA8AAAAAAAAAAQAgAAAAIgAAAGRycy9kb3ducmV2LnhtbFBLAQIU&#10;ABQAAAAIAIdO4kAipzAruAEAAHUDAAAOAAAAAAAAAAEAIAAAACkBAABkcnMvZTJvRG9jLnhtbFBL&#10;BQYAAAAABgAGAFkBAABTBQAAAAA=&#10;">
              <v:fill on="f" focussize="0,0"/>
              <v:stroke on="f"/>
              <v:imagedata o:title=""/>
              <o:lock v:ext="edit" aspectratio="f"/>
              <v:textbox inset="0mm,0mm,0mm,0mm">
                <w:txbxContent>
                  <w:p/>
                </w:txbxContent>
              </v:textbox>
            </v:rect>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0"/>
      <w:pBdr>
        <w:bottom w:val="none" w:color="auto" w:sz="0" w:space="0"/>
      </w:pBdr>
    </w:pPr>
    <w:r>
      <w:rPr>
        <w:rFonts w:hint="eastAsia"/>
      </w:rPr>
      <w:t>·</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0"/>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11"/>
    <w:multiLevelType w:val="singleLevel"/>
    <w:tmpl w:val="00000011"/>
    <w:lvl w:ilvl="0" w:tentative="0">
      <w:start w:val="2"/>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oNotHyphenateCaps/>
  <w:drawingGridVerticalSpacing w:val="159"/>
  <w:noPunctuationKerning w:val="1"/>
  <w:characterSpacingControl w:val="compressPunctuation"/>
  <w:noLineBreaksAfter w:lang="zh-CN" w:val="$([{£¥·‘“〈《「『【〔〖〝﹙﹛﹝＄（．［｛￡￥"/>
  <w:noLineBreaksBefore w:lang="zh-CN" w:val="!%),.:;&gt;?]}¢¨°·ˇˉ―‖’”…‰′″›℃∶、。〃〉》」』】〕〗〞︶︺︾﹀﹄﹚﹜﹞！＂％＇），．：；？］｀｜｝～￠"/>
  <w:doNotValidateAgainstSchema/>
  <w:doNotDemarcateInvalidXml/>
  <w:compat>
    <w:spaceForUL/>
    <w:balanceSingleByteDoubleByteWidth/>
    <w:doNotLeaveBackslashAlon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A3NWE0YzU4ZDlhYjQwNDAyODFmMjA2NmNjMjQ0ODUifQ=="/>
  </w:docVars>
  <w:rsids>
    <w:rsidRoot w:val="00277DEA"/>
    <w:rsid w:val="000407AC"/>
    <w:rsid w:val="00040A78"/>
    <w:rsid w:val="00057816"/>
    <w:rsid w:val="000E13AD"/>
    <w:rsid w:val="00131FFF"/>
    <w:rsid w:val="00135312"/>
    <w:rsid w:val="00144E2C"/>
    <w:rsid w:val="001643AB"/>
    <w:rsid w:val="0016450D"/>
    <w:rsid w:val="00182F47"/>
    <w:rsid w:val="001A591F"/>
    <w:rsid w:val="001C6848"/>
    <w:rsid w:val="001D4B0B"/>
    <w:rsid w:val="001F10F0"/>
    <w:rsid w:val="00217AF2"/>
    <w:rsid w:val="00217EB9"/>
    <w:rsid w:val="00217FF1"/>
    <w:rsid w:val="0023383D"/>
    <w:rsid w:val="00252D6D"/>
    <w:rsid w:val="00253B24"/>
    <w:rsid w:val="00270071"/>
    <w:rsid w:val="002740D6"/>
    <w:rsid w:val="00274549"/>
    <w:rsid w:val="00277DEA"/>
    <w:rsid w:val="002A2969"/>
    <w:rsid w:val="002C40D1"/>
    <w:rsid w:val="002E76AA"/>
    <w:rsid w:val="002F38FE"/>
    <w:rsid w:val="00313EF1"/>
    <w:rsid w:val="00332C02"/>
    <w:rsid w:val="00336837"/>
    <w:rsid w:val="00354075"/>
    <w:rsid w:val="00370095"/>
    <w:rsid w:val="0037519A"/>
    <w:rsid w:val="003776B6"/>
    <w:rsid w:val="003A3D22"/>
    <w:rsid w:val="003D00F9"/>
    <w:rsid w:val="003E18D3"/>
    <w:rsid w:val="003E616C"/>
    <w:rsid w:val="004108BC"/>
    <w:rsid w:val="00410ABB"/>
    <w:rsid w:val="00411EFB"/>
    <w:rsid w:val="00430081"/>
    <w:rsid w:val="0045352B"/>
    <w:rsid w:val="004806E1"/>
    <w:rsid w:val="004943F2"/>
    <w:rsid w:val="004B1E23"/>
    <w:rsid w:val="004D7A32"/>
    <w:rsid w:val="004F10A4"/>
    <w:rsid w:val="004F5FF3"/>
    <w:rsid w:val="00523372"/>
    <w:rsid w:val="00544FBB"/>
    <w:rsid w:val="00555AF7"/>
    <w:rsid w:val="00587AEB"/>
    <w:rsid w:val="005D26BD"/>
    <w:rsid w:val="005F02AC"/>
    <w:rsid w:val="005F4D1F"/>
    <w:rsid w:val="006008C2"/>
    <w:rsid w:val="00600A1A"/>
    <w:rsid w:val="00613B3B"/>
    <w:rsid w:val="00635236"/>
    <w:rsid w:val="00640C59"/>
    <w:rsid w:val="006412B4"/>
    <w:rsid w:val="00643128"/>
    <w:rsid w:val="006B2CC6"/>
    <w:rsid w:val="006C2619"/>
    <w:rsid w:val="006E2124"/>
    <w:rsid w:val="006E24A2"/>
    <w:rsid w:val="006F1EB8"/>
    <w:rsid w:val="00762DC1"/>
    <w:rsid w:val="007701C5"/>
    <w:rsid w:val="0077045D"/>
    <w:rsid w:val="007E581B"/>
    <w:rsid w:val="008052CD"/>
    <w:rsid w:val="008057AF"/>
    <w:rsid w:val="00806B50"/>
    <w:rsid w:val="00806DEB"/>
    <w:rsid w:val="008706BB"/>
    <w:rsid w:val="008801B2"/>
    <w:rsid w:val="008B45BE"/>
    <w:rsid w:val="008B6AF2"/>
    <w:rsid w:val="008C044F"/>
    <w:rsid w:val="008C7B90"/>
    <w:rsid w:val="008E0BFB"/>
    <w:rsid w:val="008F24D9"/>
    <w:rsid w:val="009148C9"/>
    <w:rsid w:val="00916805"/>
    <w:rsid w:val="0093540E"/>
    <w:rsid w:val="009430F7"/>
    <w:rsid w:val="009548E3"/>
    <w:rsid w:val="009D69A7"/>
    <w:rsid w:val="009E2CB7"/>
    <w:rsid w:val="009F052A"/>
    <w:rsid w:val="009F2331"/>
    <w:rsid w:val="00A109CD"/>
    <w:rsid w:val="00A364A9"/>
    <w:rsid w:val="00A74A67"/>
    <w:rsid w:val="00A92252"/>
    <w:rsid w:val="00A95FC8"/>
    <w:rsid w:val="00AA6310"/>
    <w:rsid w:val="00B21B8E"/>
    <w:rsid w:val="00B3371B"/>
    <w:rsid w:val="00B5033A"/>
    <w:rsid w:val="00B86725"/>
    <w:rsid w:val="00BB5EA4"/>
    <w:rsid w:val="00BC093E"/>
    <w:rsid w:val="00C04D5A"/>
    <w:rsid w:val="00C522F7"/>
    <w:rsid w:val="00C56491"/>
    <w:rsid w:val="00C77D9B"/>
    <w:rsid w:val="00C842EB"/>
    <w:rsid w:val="00C959B4"/>
    <w:rsid w:val="00CA283F"/>
    <w:rsid w:val="00CB14DC"/>
    <w:rsid w:val="00CC06A5"/>
    <w:rsid w:val="00CD2E86"/>
    <w:rsid w:val="00CD6B6D"/>
    <w:rsid w:val="00CF2E1F"/>
    <w:rsid w:val="00CF524A"/>
    <w:rsid w:val="00CF5B3F"/>
    <w:rsid w:val="00D05A15"/>
    <w:rsid w:val="00D07052"/>
    <w:rsid w:val="00D2599B"/>
    <w:rsid w:val="00D27C1C"/>
    <w:rsid w:val="00D32138"/>
    <w:rsid w:val="00D50ADE"/>
    <w:rsid w:val="00D50E64"/>
    <w:rsid w:val="00D67520"/>
    <w:rsid w:val="00D74DB0"/>
    <w:rsid w:val="00D75D04"/>
    <w:rsid w:val="00D862EF"/>
    <w:rsid w:val="00DD408F"/>
    <w:rsid w:val="00DE23F0"/>
    <w:rsid w:val="00E13C49"/>
    <w:rsid w:val="00E3458D"/>
    <w:rsid w:val="00EB6A15"/>
    <w:rsid w:val="00EC6F26"/>
    <w:rsid w:val="00EC6F84"/>
    <w:rsid w:val="00EC7414"/>
    <w:rsid w:val="00EE5A0A"/>
    <w:rsid w:val="00EE7AEC"/>
    <w:rsid w:val="00F10FD4"/>
    <w:rsid w:val="00F12999"/>
    <w:rsid w:val="00F16AA1"/>
    <w:rsid w:val="00F407A6"/>
    <w:rsid w:val="00F738CB"/>
    <w:rsid w:val="00F82A9A"/>
    <w:rsid w:val="00F83340"/>
    <w:rsid w:val="00FB2776"/>
    <w:rsid w:val="00FD0DE5"/>
    <w:rsid w:val="00FE4E55"/>
    <w:rsid w:val="00FF64C5"/>
    <w:rsid w:val="010C450B"/>
    <w:rsid w:val="02451D44"/>
    <w:rsid w:val="02860CE1"/>
    <w:rsid w:val="02966A1D"/>
    <w:rsid w:val="02A06DF6"/>
    <w:rsid w:val="03311B51"/>
    <w:rsid w:val="034073BB"/>
    <w:rsid w:val="035607B0"/>
    <w:rsid w:val="035A0B08"/>
    <w:rsid w:val="03DD3435"/>
    <w:rsid w:val="042D2167"/>
    <w:rsid w:val="04880F3B"/>
    <w:rsid w:val="04921CCE"/>
    <w:rsid w:val="04BB1052"/>
    <w:rsid w:val="04CF29CE"/>
    <w:rsid w:val="059F141A"/>
    <w:rsid w:val="06176B26"/>
    <w:rsid w:val="07023E8A"/>
    <w:rsid w:val="073F34F8"/>
    <w:rsid w:val="08091979"/>
    <w:rsid w:val="08EE1782"/>
    <w:rsid w:val="094625ED"/>
    <w:rsid w:val="098C0FAE"/>
    <w:rsid w:val="09A34B6E"/>
    <w:rsid w:val="0A1370D9"/>
    <w:rsid w:val="0A426E3F"/>
    <w:rsid w:val="0A783487"/>
    <w:rsid w:val="0A7A70EE"/>
    <w:rsid w:val="0A920A74"/>
    <w:rsid w:val="0B3B4932"/>
    <w:rsid w:val="0B594C9F"/>
    <w:rsid w:val="0B8A5AE2"/>
    <w:rsid w:val="0BD70F17"/>
    <w:rsid w:val="0C0134F9"/>
    <w:rsid w:val="0C5E2909"/>
    <w:rsid w:val="0CDE4AF1"/>
    <w:rsid w:val="0D2F7233"/>
    <w:rsid w:val="0D31264B"/>
    <w:rsid w:val="0D503DE8"/>
    <w:rsid w:val="0D5E4FBA"/>
    <w:rsid w:val="0DB0649C"/>
    <w:rsid w:val="0E6D2AA6"/>
    <w:rsid w:val="0E832759"/>
    <w:rsid w:val="0F260D83"/>
    <w:rsid w:val="0F3872E6"/>
    <w:rsid w:val="0F74337A"/>
    <w:rsid w:val="106F1985"/>
    <w:rsid w:val="11FC0C31"/>
    <w:rsid w:val="12021072"/>
    <w:rsid w:val="12543983"/>
    <w:rsid w:val="12A948F2"/>
    <w:rsid w:val="12B665CC"/>
    <w:rsid w:val="137A735A"/>
    <w:rsid w:val="13B24508"/>
    <w:rsid w:val="13BD1EF1"/>
    <w:rsid w:val="140A3F0D"/>
    <w:rsid w:val="143A5F3C"/>
    <w:rsid w:val="14620C2E"/>
    <w:rsid w:val="14A64A45"/>
    <w:rsid w:val="151E0989"/>
    <w:rsid w:val="15280D0B"/>
    <w:rsid w:val="154E7339"/>
    <w:rsid w:val="15D60886"/>
    <w:rsid w:val="15EF66EB"/>
    <w:rsid w:val="16592CBA"/>
    <w:rsid w:val="16795E94"/>
    <w:rsid w:val="16A220B2"/>
    <w:rsid w:val="16AB249D"/>
    <w:rsid w:val="16B85EAA"/>
    <w:rsid w:val="16F07B27"/>
    <w:rsid w:val="182226C4"/>
    <w:rsid w:val="1830556D"/>
    <w:rsid w:val="18791F1E"/>
    <w:rsid w:val="18A84692"/>
    <w:rsid w:val="18D82529"/>
    <w:rsid w:val="19D85993"/>
    <w:rsid w:val="1A7408B4"/>
    <w:rsid w:val="1A7A2554"/>
    <w:rsid w:val="1A7F4297"/>
    <w:rsid w:val="1AB5410B"/>
    <w:rsid w:val="1B0F337F"/>
    <w:rsid w:val="1B334333"/>
    <w:rsid w:val="1B5C44DC"/>
    <w:rsid w:val="1B6338B0"/>
    <w:rsid w:val="1BA355D9"/>
    <w:rsid w:val="1BEC5215"/>
    <w:rsid w:val="1C136BB6"/>
    <w:rsid w:val="1C4B5EA8"/>
    <w:rsid w:val="1CC23B65"/>
    <w:rsid w:val="1D157916"/>
    <w:rsid w:val="1D4E7880"/>
    <w:rsid w:val="1DD14CA1"/>
    <w:rsid w:val="1E1554ED"/>
    <w:rsid w:val="1E2D3E8E"/>
    <w:rsid w:val="1EA50719"/>
    <w:rsid w:val="1F4343CD"/>
    <w:rsid w:val="1FC72549"/>
    <w:rsid w:val="206778EF"/>
    <w:rsid w:val="20775E12"/>
    <w:rsid w:val="207B6E01"/>
    <w:rsid w:val="20A803FD"/>
    <w:rsid w:val="20C152CD"/>
    <w:rsid w:val="21721D27"/>
    <w:rsid w:val="219D0B32"/>
    <w:rsid w:val="221255C2"/>
    <w:rsid w:val="229654D3"/>
    <w:rsid w:val="233E1D76"/>
    <w:rsid w:val="23B333EF"/>
    <w:rsid w:val="23B802A0"/>
    <w:rsid w:val="23F15F55"/>
    <w:rsid w:val="240759C8"/>
    <w:rsid w:val="243D2848"/>
    <w:rsid w:val="248851A7"/>
    <w:rsid w:val="24CE2D2C"/>
    <w:rsid w:val="24D66607"/>
    <w:rsid w:val="25236015"/>
    <w:rsid w:val="25AD7A6E"/>
    <w:rsid w:val="25D05377"/>
    <w:rsid w:val="26252182"/>
    <w:rsid w:val="265E174C"/>
    <w:rsid w:val="265F1BC5"/>
    <w:rsid w:val="2686038F"/>
    <w:rsid w:val="26D6442E"/>
    <w:rsid w:val="27270303"/>
    <w:rsid w:val="28164313"/>
    <w:rsid w:val="28C72B2B"/>
    <w:rsid w:val="2A081AFD"/>
    <w:rsid w:val="2A241E9E"/>
    <w:rsid w:val="2AB033FD"/>
    <w:rsid w:val="2B0B00AD"/>
    <w:rsid w:val="2B420197"/>
    <w:rsid w:val="2C874AAF"/>
    <w:rsid w:val="2C8E66A6"/>
    <w:rsid w:val="2CAF5168"/>
    <w:rsid w:val="2CBB47F9"/>
    <w:rsid w:val="2D111FD8"/>
    <w:rsid w:val="2D275EB3"/>
    <w:rsid w:val="2D4A1910"/>
    <w:rsid w:val="2E6B0765"/>
    <w:rsid w:val="2EFD1D1D"/>
    <w:rsid w:val="2F3A186E"/>
    <w:rsid w:val="2FD92302"/>
    <w:rsid w:val="32852601"/>
    <w:rsid w:val="332433C5"/>
    <w:rsid w:val="3376156C"/>
    <w:rsid w:val="339C188C"/>
    <w:rsid w:val="33BD26F8"/>
    <w:rsid w:val="348E387D"/>
    <w:rsid w:val="34C870C7"/>
    <w:rsid w:val="35624F4C"/>
    <w:rsid w:val="359B0230"/>
    <w:rsid w:val="35A46FAE"/>
    <w:rsid w:val="3628257B"/>
    <w:rsid w:val="371F6D9C"/>
    <w:rsid w:val="3750497A"/>
    <w:rsid w:val="380A4A95"/>
    <w:rsid w:val="397A0421"/>
    <w:rsid w:val="398960D8"/>
    <w:rsid w:val="39F2247F"/>
    <w:rsid w:val="3A066436"/>
    <w:rsid w:val="3A2516BB"/>
    <w:rsid w:val="3A374A52"/>
    <w:rsid w:val="3B086187"/>
    <w:rsid w:val="3B3C635C"/>
    <w:rsid w:val="3B993AF3"/>
    <w:rsid w:val="3BCD1B9B"/>
    <w:rsid w:val="3C1C481B"/>
    <w:rsid w:val="3CCB04A6"/>
    <w:rsid w:val="3CD37326"/>
    <w:rsid w:val="3D4F308A"/>
    <w:rsid w:val="3DD53C41"/>
    <w:rsid w:val="3E3B0878"/>
    <w:rsid w:val="3EED354E"/>
    <w:rsid w:val="3F173AB4"/>
    <w:rsid w:val="3F4E74DA"/>
    <w:rsid w:val="3F7A539C"/>
    <w:rsid w:val="3FA30AEA"/>
    <w:rsid w:val="3FB5783A"/>
    <w:rsid w:val="408338D7"/>
    <w:rsid w:val="40D11000"/>
    <w:rsid w:val="41510996"/>
    <w:rsid w:val="41E96622"/>
    <w:rsid w:val="42147451"/>
    <w:rsid w:val="43881670"/>
    <w:rsid w:val="43AB65DF"/>
    <w:rsid w:val="43E82525"/>
    <w:rsid w:val="4431123E"/>
    <w:rsid w:val="446023D9"/>
    <w:rsid w:val="44646797"/>
    <w:rsid w:val="44A8055A"/>
    <w:rsid w:val="45465E6E"/>
    <w:rsid w:val="45AF30FD"/>
    <w:rsid w:val="465B3014"/>
    <w:rsid w:val="46916DC7"/>
    <w:rsid w:val="46D84867"/>
    <w:rsid w:val="472F5293"/>
    <w:rsid w:val="479A0405"/>
    <w:rsid w:val="47C102C8"/>
    <w:rsid w:val="47DB0FE0"/>
    <w:rsid w:val="485A4022"/>
    <w:rsid w:val="48986B3F"/>
    <w:rsid w:val="49B66251"/>
    <w:rsid w:val="4AC7233B"/>
    <w:rsid w:val="4B1E5923"/>
    <w:rsid w:val="4B9F76BF"/>
    <w:rsid w:val="4BAA4F08"/>
    <w:rsid w:val="4BB93099"/>
    <w:rsid w:val="4C9E15DF"/>
    <w:rsid w:val="4CD65604"/>
    <w:rsid w:val="4CD87112"/>
    <w:rsid w:val="4D9B2BA2"/>
    <w:rsid w:val="4DDC7792"/>
    <w:rsid w:val="4E532013"/>
    <w:rsid w:val="4E5C029C"/>
    <w:rsid w:val="4F8A1859"/>
    <w:rsid w:val="4FD23591"/>
    <w:rsid w:val="502D24E4"/>
    <w:rsid w:val="5087096D"/>
    <w:rsid w:val="516B4DC3"/>
    <w:rsid w:val="52A2363E"/>
    <w:rsid w:val="52CE5689"/>
    <w:rsid w:val="53122999"/>
    <w:rsid w:val="53294814"/>
    <w:rsid w:val="54727BA5"/>
    <w:rsid w:val="558A3D0F"/>
    <w:rsid w:val="56395B87"/>
    <w:rsid w:val="569E5C28"/>
    <w:rsid w:val="56F5327C"/>
    <w:rsid w:val="571C5F2B"/>
    <w:rsid w:val="57313D11"/>
    <w:rsid w:val="578D69F6"/>
    <w:rsid w:val="59103D2C"/>
    <w:rsid w:val="599A4762"/>
    <w:rsid w:val="5B361E7C"/>
    <w:rsid w:val="5B554B3E"/>
    <w:rsid w:val="5B5877E2"/>
    <w:rsid w:val="5B5E287E"/>
    <w:rsid w:val="5BE3458F"/>
    <w:rsid w:val="5BE73983"/>
    <w:rsid w:val="5DD0286D"/>
    <w:rsid w:val="5EC84FF2"/>
    <w:rsid w:val="5EEA0F2A"/>
    <w:rsid w:val="5F0E45BB"/>
    <w:rsid w:val="5F9D1CA2"/>
    <w:rsid w:val="5FC81CAB"/>
    <w:rsid w:val="5FD300DB"/>
    <w:rsid w:val="60284D4C"/>
    <w:rsid w:val="602A1431"/>
    <w:rsid w:val="602F06F9"/>
    <w:rsid w:val="608C59E7"/>
    <w:rsid w:val="60CA10D1"/>
    <w:rsid w:val="61095D5D"/>
    <w:rsid w:val="61284751"/>
    <w:rsid w:val="62202B07"/>
    <w:rsid w:val="628506F0"/>
    <w:rsid w:val="6294738C"/>
    <w:rsid w:val="62F006F1"/>
    <w:rsid w:val="63BC4518"/>
    <w:rsid w:val="64274D62"/>
    <w:rsid w:val="64C4269D"/>
    <w:rsid w:val="65027B05"/>
    <w:rsid w:val="6554585D"/>
    <w:rsid w:val="655541D3"/>
    <w:rsid w:val="65594766"/>
    <w:rsid w:val="65AE22F3"/>
    <w:rsid w:val="65EB0365"/>
    <w:rsid w:val="66465782"/>
    <w:rsid w:val="66AD359D"/>
    <w:rsid w:val="670A4733"/>
    <w:rsid w:val="67DE5EA5"/>
    <w:rsid w:val="683325DF"/>
    <w:rsid w:val="699B02E9"/>
    <w:rsid w:val="69C81CE8"/>
    <w:rsid w:val="69F26A0E"/>
    <w:rsid w:val="6A16299D"/>
    <w:rsid w:val="6A546685"/>
    <w:rsid w:val="6AC6490F"/>
    <w:rsid w:val="6ACE1747"/>
    <w:rsid w:val="6B2F50CF"/>
    <w:rsid w:val="6BB4626C"/>
    <w:rsid w:val="6C880962"/>
    <w:rsid w:val="6D0B604A"/>
    <w:rsid w:val="6DAC05BE"/>
    <w:rsid w:val="6E513045"/>
    <w:rsid w:val="6F8373FF"/>
    <w:rsid w:val="6FD16561"/>
    <w:rsid w:val="6FDE7145"/>
    <w:rsid w:val="7003131E"/>
    <w:rsid w:val="7025059A"/>
    <w:rsid w:val="71070D0D"/>
    <w:rsid w:val="71344FFF"/>
    <w:rsid w:val="715D4FE8"/>
    <w:rsid w:val="725809D6"/>
    <w:rsid w:val="737A421D"/>
    <w:rsid w:val="73875405"/>
    <w:rsid w:val="73B74532"/>
    <w:rsid w:val="74363C49"/>
    <w:rsid w:val="74425F26"/>
    <w:rsid w:val="74CC7CBB"/>
    <w:rsid w:val="74CD2DFA"/>
    <w:rsid w:val="74E20428"/>
    <w:rsid w:val="75A3409C"/>
    <w:rsid w:val="75D961A0"/>
    <w:rsid w:val="762C6AF6"/>
    <w:rsid w:val="765A6376"/>
    <w:rsid w:val="76955006"/>
    <w:rsid w:val="774E2667"/>
    <w:rsid w:val="785C5E6F"/>
    <w:rsid w:val="7A4A386D"/>
    <w:rsid w:val="7A650E3C"/>
    <w:rsid w:val="7A9B18B0"/>
    <w:rsid w:val="7B360113"/>
    <w:rsid w:val="7B4A526C"/>
    <w:rsid w:val="7B4C4B65"/>
    <w:rsid w:val="7B780F7C"/>
    <w:rsid w:val="7B9D6375"/>
    <w:rsid w:val="7C6D63F4"/>
    <w:rsid w:val="7C6F0B11"/>
    <w:rsid w:val="7C8660BD"/>
    <w:rsid w:val="7CA05978"/>
    <w:rsid w:val="7D1370F0"/>
    <w:rsid w:val="7F09259F"/>
    <w:rsid w:val="7FBC5227"/>
    <w:rsid w:val="7FCD7FD5"/>
    <w:rsid w:val="7FD72BB2"/>
    <w:rsid w:val="7FEE047D"/>
    <w:rsid w:val="7FFC4390"/>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nhideWhenUsed="0" w:uiPriority="99" w:semiHidden="0" w:name="heading 3"/>
    <w:lsdException w:qFormat="1" w:unhideWhenUsed="0" w:uiPriority="99" w:semiHidden="0" w:name="heading 4"/>
    <w:lsdException w:qFormat="1" w:unhideWhenUsed="0" w:uiPriority="99" w:semiHidden="0" w:name="heading 5"/>
    <w:lsdException w:qFormat="1" w:unhideWhenUsed="0" w:uiPriority="99" w:semiHidden="0" w:name="heading 6"/>
    <w:lsdException w:qFormat="1" w:unhideWhenUsed="0" w:uiPriority="99" w:semiHidden="0" w:name="heading 7"/>
    <w:lsdException w:qFormat="1" w:unhideWhenUsed="0" w:uiPriority="99" w:semiHidden="0" w:name="heading 8"/>
    <w:lsdException w:qFormat="1" w:unhideWhenUsed="0" w:uiPriority="99" w:semiHidden="0" w:name="heading 9"/>
    <w:lsdException w:uiPriority="99" w:name="index 1" w:locked="1"/>
    <w:lsdException w:uiPriority="99" w:name="index 2" w:locked="1"/>
    <w:lsdException w:uiPriority="99" w:name="index 3" w:locked="1"/>
    <w:lsdException w:qFormat="1" w:unhideWhenUsed="0" w:uiPriority="99" w:name="index 4"/>
    <w:lsdException w:uiPriority="99" w:name="index 5" w:locked="1"/>
    <w:lsdException w:uiPriority="99" w:name="index 6" w:locked="1"/>
    <w:lsdException w:uiPriority="99" w:name="index 7" w:locked="1"/>
    <w:lsdException w:uiPriority="99" w:name="index 8" w:locked="1"/>
    <w:lsdException w:uiPriority="99" w:name="index 9" w:locked="1"/>
    <w:lsdException w:qFormat="1" w:unhideWhenUsed="0" w:uiPriority="99" w:name="toc 1"/>
    <w:lsdException w:qFormat="1" w:unhideWhenUsed="0" w:uiPriority="99" w:name="toc 2"/>
    <w:lsdException w:qFormat="1" w:unhideWhenUsed="0" w:uiPriority="99" w:name="toc 3"/>
    <w:lsdException w:qFormat="1" w:unhideWhenUsed="0" w:uiPriority="99" w:name="toc 4"/>
    <w:lsdException w:qFormat="1" w:unhideWhenUsed="0" w:uiPriority="99" w:name="toc 5"/>
    <w:lsdException w:qFormat="1" w:unhideWhenUsed="0" w:uiPriority="99" w:name="toc 6"/>
    <w:lsdException w:qFormat="1" w:unhideWhenUsed="0" w:uiPriority="99" w:name="toc 7"/>
    <w:lsdException w:qFormat="1" w:unhideWhenUsed="0" w:uiPriority="99" w:name="toc 8"/>
    <w:lsdException w:qFormat="1" w:unhideWhenUsed="0" w:uiPriority="99" w:name="toc 9"/>
    <w:lsdException w:qFormat="1" w:unhideWhenUsed="0" w:uiPriority="99" w:semiHidden="0" w:name="Normal Indent"/>
    <w:lsdException w:qFormat="1" w:unhideWhenUsed="0" w:uiPriority="99" w:name="footnote text"/>
    <w:lsdException w:qFormat="1" w:unhideWhenUsed="0" w:uiPriority="99" w:name="annotation text"/>
    <w:lsdException w:qFormat="1" w:unhideWhenUsed="0" w:uiPriority="99" w:semiHidden="0" w:name="header"/>
    <w:lsdException w:qFormat="1" w:unhideWhenUsed="0" w:uiPriority="99" w:semiHidden="0" w:name="footer"/>
    <w:lsdException w:uiPriority="99" w:name="index heading" w:locked="1"/>
    <w:lsdException w:qFormat="1" w:unhideWhenUsed="0" w:uiPriority="99" w:semiHidden="0" w:name="caption"/>
    <w:lsdException w:qFormat="1" w:unhideWhenUsed="0" w:uiPriority="99" w:name="table of figures"/>
    <w:lsdException w:uiPriority="99" w:name="envelope address" w:locked="1"/>
    <w:lsdException w:qFormat="1" w:unhideWhenUsed="0" w:uiPriority="99" w:semiHidden="0" w:name="envelope return"/>
    <w:lsdException w:qFormat="1" w:unhideWhenUsed="0" w:uiPriority="99" w:name="footnote reference"/>
    <w:lsdException w:qFormat="1" w:unhideWhenUsed="0" w:uiPriority="99" w:name="annotation reference"/>
    <w:lsdException w:uiPriority="99" w:name="line number" w:locked="1"/>
    <w:lsdException w:qFormat="1" w:unhideWhenUsed="0" w:uiPriority="99" w:semiHidden="0" w:name="page number"/>
    <w:lsdException w:uiPriority="99" w:name="endnote reference" w:locked="1"/>
    <w:lsdException w:uiPriority="99" w:name="endnote text" w:locked="1"/>
    <w:lsdException w:uiPriority="99" w:name="table of authorities" w:locked="1"/>
    <w:lsdException w:uiPriority="99" w:name="macro" w:locked="1"/>
    <w:lsdException w:uiPriority="99" w:name="toa heading" w:locked="1"/>
    <w:lsdException w:qFormat="1" w:unhideWhenUsed="0" w:uiPriority="0" w:semiHidden="0" w:name="List" w:locked="1"/>
    <w:lsdException w:uiPriority="99" w:name="List Bullet" w:locked="1"/>
    <w:lsdException w:uiPriority="99" w:name="List Number" w:locked="1"/>
    <w:lsdException w:uiPriority="99" w:name="List 2" w:locked="1"/>
    <w:lsdException w:uiPriority="99" w:name="List 3" w:locked="1"/>
    <w:lsdException w:uiPriority="99" w:name="List 4" w:locked="1"/>
    <w:lsdException w:uiPriority="99" w:name="List 5" w:locked="1"/>
    <w:lsdException w:uiPriority="99" w:name="List Bullet 2" w:locked="1"/>
    <w:lsdException w:uiPriority="99" w:name="List Bullet 3" w:locked="1"/>
    <w:lsdException w:uiPriority="99" w:name="List Bullet 4" w:locked="1"/>
    <w:lsdException w:uiPriority="99" w:name="List Bullet 5" w:locked="1"/>
    <w:lsdException w:uiPriority="99" w:name="List Number 2" w:locked="1"/>
    <w:lsdException w:uiPriority="99" w:name="List Number 3" w:locked="1"/>
    <w:lsdException w:uiPriority="99" w:name="List Number 4" w:locked="1"/>
    <w:lsdException w:uiPriority="99" w:name="List Number 5" w:locked="1"/>
    <w:lsdException w:qFormat="1" w:unhideWhenUsed="0" w:uiPriority="99" w:semiHidden="0" w:name="Title"/>
    <w:lsdException w:uiPriority="99" w:name="Closing" w:locked="1"/>
    <w:lsdException w:uiPriority="99" w:name="Signature" w:locked="1"/>
    <w:lsdException w:qFormat="1" w:uiPriority="1" w:name="Default Paragraph Font"/>
    <w:lsdException w:qFormat="1" w:unhideWhenUsed="0" w:uiPriority="99" w:semiHidden="0" w:name="Body Text"/>
    <w:lsdException w:qFormat="1" w:unhideWhenUsed="0" w:uiPriority="99" w:semiHidden="0" w:name="Body Text Indent"/>
    <w:lsdException w:uiPriority="99" w:name="List Continue" w:locked="1"/>
    <w:lsdException w:uiPriority="99" w:name="List Continue 2" w:locked="1"/>
    <w:lsdException w:uiPriority="99" w:name="List Continue 3" w:locked="1"/>
    <w:lsdException w:uiPriority="99" w:name="List Continue 4" w:locked="1"/>
    <w:lsdException w:uiPriority="99" w:name="List Continue 5" w:locked="1"/>
    <w:lsdException w:uiPriority="99" w:name="Message Header" w:locked="1"/>
    <w:lsdException w:qFormat="1" w:unhideWhenUsed="0" w:uiPriority="99" w:semiHidden="0" w:name="Subtitle"/>
    <w:lsdException w:uiPriority="99" w:name="Salutation" w:locked="1"/>
    <w:lsdException w:qFormat="1" w:unhideWhenUsed="0" w:uiPriority="99" w:semiHidden="0" w:name="Date"/>
    <w:lsdException w:uiPriority="99" w:name="Body Text First Indent" w:locked="1"/>
    <w:lsdException w:qFormat="1" w:unhideWhenUsed="0" w:uiPriority="99" w:semiHidden="0" w:name="Body Text First Indent 2"/>
    <w:lsdException w:uiPriority="99" w:name="Note Heading" w:locked="1"/>
    <w:lsdException w:qFormat="1" w:unhideWhenUsed="0" w:uiPriority="99" w:semiHidden="0" w:name="Body Text 2"/>
    <w:lsdException w:qFormat="1" w:unhideWhenUsed="0" w:uiPriority="99" w:semiHidden="0" w:name="Body Text 3"/>
    <w:lsdException w:qFormat="1" w:unhideWhenUsed="0" w:uiPriority="99" w:semiHidden="0" w:name="Body Text Indent 2"/>
    <w:lsdException w:qFormat="1" w:unhideWhenUsed="0" w:uiPriority="99" w:semiHidden="0" w:name="Body Text Indent 3"/>
    <w:lsdException w:qFormat="1" w:unhideWhenUsed="0" w:uiPriority="99" w:semiHidden="0" w:name="Block Text"/>
    <w:lsdException w:qFormat="1" w:unhideWhenUsed="0" w:uiPriority="99" w:semiHidden="0" w:name="Hyperlink"/>
    <w:lsdException w:qFormat="1" w:unhideWhenUsed="0" w:uiPriority="99" w:semiHidden="0" w:name="FollowedHyperlink"/>
    <w:lsdException w:qFormat="1" w:unhideWhenUsed="0" w:uiPriority="99" w:semiHidden="0" w:name="Strong"/>
    <w:lsdException w:qFormat="1" w:unhideWhenUsed="0" w:uiPriority="99" w:semiHidden="0" w:name="Emphasis"/>
    <w:lsdException w:qFormat="1" w:unhideWhenUsed="0" w:uiPriority="99" w:name="Document Map"/>
    <w:lsdException w:qFormat="1" w:unhideWhenUsed="0" w:uiPriority="99" w:semiHidden="0" w:name="Plain Text"/>
    <w:lsdException w:uiPriority="99" w:name="E-mail Signature" w:locked="1"/>
    <w:lsdException w:qFormat="1" w:unhideWhenUsed="0" w:uiPriority="99" w:semiHidden="0" w:name="Normal (Web)"/>
    <w:lsdException w:qFormat="1" w:unhideWhenUsed="0" w:uiPriority="99" w:semiHidden="0" w:name="HTML Acronym"/>
    <w:lsdException w:uiPriority="99" w:name="HTML Address" w:locked="1"/>
    <w:lsdException w:qFormat="1" w:unhideWhenUsed="0" w:uiPriority="99" w:semiHidden="0" w:name="HTML Cite"/>
    <w:lsdException w:qFormat="1" w:unhideWhenUsed="0" w:uiPriority="99" w:semiHidden="0" w:name="HTML Code"/>
    <w:lsdException w:qFormat="1" w:unhideWhenUsed="0" w:uiPriority="99" w:semiHidden="0" w:name="HTML Definition"/>
    <w:lsdException w:qFormat="1" w:unhideWhenUsed="0" w:uiPriority="99" w:semiHidden="0" w:name="HTML Keyboard"/>
    <w:lsdException w:uiPriority="99" w:name="HTML Preformatted" w:locked="1"/>
    <w:lsdException w:qFormat="1" w:unhideWhenUsed="0" w:uiPriority="99" w:semiHidden="0" w:name="HTML Sample"/>
    <w:lsdException w:qFormat="1" w:unhideWhenUsed="0" w:uiPriority="99" w:semiHidden="0" w:name="HTML Typewriter"/>
    <w:lsdException w:qFormat="1" w:unhideWhenUsed="0" w:uiPriority="99" w:semiHidden="0" w:name="HTML Variable"/>
    <w:lsdException w:qFormat="1" w:uiPriority="99" w:name="Normal Table"/>
    <w:lsdException w:qFormat="1" w:unhideWhenUsed="0" w:uiPriority="99" w:name="annotation subject"/>
    <w:lsdException w:uiPriority="99" w:name="Table Simple 1" w:locked="1"/>
    <w:lsdException w:uiPriority="99" w:name="Table Simple 2" w:locked="1"/>
    <w:lsdException w:uiPriority="99" w:name="Table Simple 3" w:locked="1"/>
    <w:lsdException w:uiPriority="99" w:name="Table Classic 1" w:locked="1"/>
    <w:lsdException w:uiPriority="99" w:name="Table Classic 2" w:locked="1"/>
    <w:lsdException w:uiPriority="99" w:name="Table Classic 3" w:locked="1"/>
    <w:lsdException w:uiPriority="99" w:name="Table Classic 4" w:locked="1"/>
    <w:lsdException w:uiPriority="99" w:name="Table Colorful 1" w:locked="1"/>
    <w:lsdException w:uiPriority="99" w:name="Table Colorful 2" w:locked="1"/>
    <w:lsdException w:uiPriority="99" w:name="Table Colorful 3" w:locked="1"/>
    <w:lsdException w:uiPriority="99" w:name="Table Columns 1" w:locked="1"/>
    <w:lsdException w:uiPriority="99" w:name="Table Columns 2" w:locked="1"/>
    <w:lsdException w:uiPriority="99" w:name="Table Columns 3" w:locked="1"/>
    <w:lsdException w:uiPriority="99" w:name="Table Columns 4" w:locked="1"/>
    <w:lsdException w:uiPriority="99" w:name="Table Columns 5" w:locked="1"/>
    <w:lsdException w:uiPriority="99" w:name="Table Grid 1" w:locked="1"/>
    <w:lsdException w:uiPriority="99" w:name="Table Grid 2" w:locked="1"/>
    <w:lsdException w:uiPriority="99" w:name="Table Grid 3" w:locked="1"/>
    <w:lsdException w:uiPriority="99" w:name="Table Grid 4" w:locked="1"/>
    <w:lsdException w:uiPriority="99" w:name="Table Grid 5" w:locked="1"/>
    <w:lsdException w:uiPriority="99" w:name="Table Grid 6" w:locked="1"/>
    <w:lsdException w:uiPriority="99" w:name="Table Grid 7" w:locked="1"/>
    <w:lsdException w:uiPriority="99" w:name="Table Grid 8" w:locked="1"/>
    <w:lsdException w:uiPriority="99" w:name="Table List 1" w:locked="1"/>
    <w:lsdException w:uiPriority="99" w:name="Table List 2" w:locked="1"/>
    <w:lsdException w:uiPriority="99" w:name="Table List 3" w:locked="1"/>
    <w:lsdException w:uiPriority="99" w:name="Table List 4" w:locked="1"/>
    <w:lsdException w:uiPriority="99" w:name="Table List 5" w:locked="1"/>
    <w:lsdException w:uiPriority="99" w:name="Table List 6" w:locked="1"/>
    <w:lsdException w:uiPriority="99" w:name="Table List 7" w:locked="1"/>
    <w:lsdException w:uiPriority="99" w:name="Table List 8" w:locked="1"/>
    <w:lsdException w:uiPriority="99" w:name="Table 3D effects 1" w:locked="1"/>
    <w:lsdException w:uiPriority="99" w:name="Table 3D effects 2" w:locked="1"/>
    <w:lsdException w:uiPriority="99" w:name="Table 3D effects 3" w:locked="1"/>
    <w:lsdException w:uiPriority="99" w:name="Table Contemporary" w:locked="1"/>
    <w:lsdException w:uiPriority="99" w:name="Table Elegant" w:locked="1"/>
    <w:lsdException w:uiPriority="99" w:name="Table Professional" w:locked="1"/>
    <w:lsdException w:uiPriority="99" w:name="Table Subtle 1" w:locked="1"/>
    <w:lsdException w:uiPriority="99" w:name="Table Subtle 2" w:locked="1"/>
    <w:lsdException w:uiPriority="99" w:name="Table Web 1" w:locked="1"/>
    <w:lsdException w:uiPriority="99" w:name="Table Web 2" w:locked="1"/>
    <w:lsdException w:uiPriority="99" w:name="Table Web 3" w:locked="1"/>
    <w:lsdException w:qFormat="1" w:unhideWhenUsed="0" w:uiPriority="99" w:name="Balloon Text"/>
    <w:lsdException w:qFormat="1" w:unhideWhenUsed="0" w:uiPriority="99" w:semiHidden="0" w:name="Table Grid"/>
    <w:lsdException w:uiPriority="99" w:name="Table Theme" w:locked="1"/>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1"/>
      <w:lang w:val="en-US" w:eastAsia="zh-CN" w:bidi="ar-SA"/>
    </w:rPr>
  </w:style>
  <w:style w:type="paragraph" w:styleId="6">
    <w:name w:val="heading 1"/>
    <w:basedOn w:val="1"/>
    <w:next w:val="1"/>
    <w:link w:val="64"/>
    <w:qFormat/>
    <w:uiPriority w:val="99"/>
    <w:pPr>
      <w:keepNext/>
      <w:keepLines/>
      <w:spacing w:before="340" w:after="330" w:line="360" w:lineRule="auto"/>
      <w:jc w:val="center"/>
      <w:outlineLvl w:val="0"/>
    </w:pPr>
    <w:rPr>
      <w:rFonts w:eastAsia="仿宋"/>
      <w:b/>
      <w:bCs/>
      <w:kern w:val="44"/>
      <w:sz w:val="30"/>
      <w:szCs w:val="44"/>
    </w:rPr>
  </w:style>
  <w:style w:type="paragraph" w:styleId="7">
    <w:name w:val="heading 2"/>
    <w:basedOn w:val="1"/>
    <w:next w:val="1"/>
    <w:link w:val="65"/>
    <w:qFormat/>
    <w:uiPriority w:val="99"/>
    <w:pPr>
      <w:keepNext/>
      <w:keepLines/>
      <w:spacing w:before="260" w:after="260" w:line="416" w:lineRule="auto"/>
      <w:outlineLvl w:val="1"/>
    </w:pPr>
    <w:rPr>
      <w:rFonts w:ascii="Arial" w:hAnsi="Arial" w:eastAsia="黑体" w:cs="Arial"/>
      <w:b/>
      <w:bCs/>
      <w:sz w:val="32"/>
      <w:szCs w:val="32"/>
    </w:rPr>
  </w:style>
  <w:style w:type="paragraph" w:styleId="8">
    <w:name w:val="heading 3"/>
    <w:basedOn w:val="1"/>
    <w:next w:val="1"/>
    <w:link w:val="66"/>
    <w:qFormat/>
    <w:uiPriority w:val="99"/>
    <w:pPr>
      <w:keepNext/>
      <w:keepLines/>
      <w:spacing w:before="260" w:after="260" w:line="416" w:lineRule="auto"/>
      <w:outlineLvl w:val="2"/>
    </w:pPr>
    <w:rPr>
      <w:b/>
      <w:bCs/>
      <w:sz w:val="32"/>
      <w:szCs w:val="32"/>
    </w:rPr>
  </w:style>
  <w:style w:type="paragraph" w:styleId="9">
    <w:name w:val="heading 4"/>
    <w:basedOn w:val="1"/>
    <w:next w:val="1"/>
    <w:link w:val="67"/>
    <w:qFormat/>
    <w:uiPriority w:val="99"/>
    <w:pPr>
      <w:keepNext/>
      <w:keepLines/>
      <w:spacing w:before="280" w:after="290" w:line="372" w:lineRule="auto"/>
      <w:outlineLvl w:val="3"/>
    </w:pPr>
    <w:rPr>
      <w:rFonts w:ascii="Cambria" w:hAnsi="Cambria" w:cs="Cambria"/>
      <w:b/>
      <w:bCs/>
      <w:sz w:val="28"/>
      <w:szCs w:val="28"/>
    </w:rPr>
  </w:style>
  <w:style w:type="paragraph" w:styleId="10">
    <w:name w:val="heading 5"/>
    <w:basedOn w:val="1"/>
    <w:next w:val="1"/>
    <w:link w:val="68"/>
    <w:qFormat/>
    <w:uiPriority w:val="99"/>
    <w:pPr>
      <w:keepNext/>
      <w:keepLines/>
      <w:spacing w:before="280" w:after="290" w:line="372" w:lineRule="auto"/>
      <w:outlineLvl w:val="4"/>
    </w:pPr>
    <w:rPr>
      <w:rFonts w:ascii="Calibri" w:hAnsi="Calibri" w:cs="Calibri"/>
      <w:b/>
      <w:bCs/>
      <w:sz w:val="28"/>
      <w:szCs w:val="28"/>
    </w:rPr>
  </w:style>
  <w:style w:type="paragraph" w:styleId="11">
    <w:name w:val="heading 6"/>
    <w:basedOn w:val="1"/>
    <w:next w:val="1"/>
    <w:link w:val="69"/>
    <w:qFormat/>
    <w:uiPriority w:val="99"/>
    <w:pPr>
      <w:keepNext/>
      <w:keepLines/>
      <w:spacing w:before="240" w:after="64" w:line="317" w:lineRule="auto"/>
      <w:outlineLvl w:val="5"/>
    </w:pPr>
    <w:rPr>
      <w:rFonts w:ascii="Cambria" w:hAnsi="Cambria" w:cs="Cambria"/>
      <w:b/>
      <w:bCs/>
      <w:sz w:val="24"/>
      <w:szCs w:val="24"/>
    </w:rPr>
  </w:style>
  <w:style w:type="paragraph" w:styleId="12">
    <w:name w:val="heading 7"/>
    <w:basedOn w:val="1"/>
    <w:next w:val="1"/>
    <w:link w:val="70"/>
    <w:qFormat/>
    <w:uiPriority w:val="99"/>
    <w:pPr>
      <w:keepNext/>
      <w:keepLines/>
      <w:spacing w:before="240" w:after="64" w:line="317" w:lineRule="auto"/>
      <w:outlineLvl w:val="6"/>
    </w:pPr>
    <w:rPr>
      <w:rFonts w:ascii="Calibri" w:hAnsi="Calibri" w:cs="Calibri"/>
      <w:b/>
      <w:bCs/>
      <w:sz w:val="24"/>
      <w:szCs w:val="24"/>
    </w:rPr>
  </w:style>
  <w:style w:type="paragraph" w:styleId="13">
    <w:name w:val="heading 8"/>
    <w:basedOn w:val="1"/>
    <w:next w:val="1"/>
    <w:link w:val="71"/>
    <w:qFormat/>
    <w:uiPriority w:val="99"/>
    <w:pPr>
      <w:keepNext/>
      <w:keepLines/>
      <w:spacing w:before="240" w:after="64" w:line="317" w:lineRule="auto"/>
      <w:outlineLvl w:val="7"/>
    </w:pPr>
    <w:rPr>
      <w:rFonts w:ascii="Cambria" w:hAnsi="Cambria" w:cs="Cambria"/>
      <w:sz w:val="24"/>
      <w:szCs w:val="24"/>
    </w:rPr>
  </w:style>
  <w:style w:type="paragraph" w:styleId="14">
    <w:name w:val="heading 9"/>
    <w:basedOn w:val="1"/>
    <w:next w:val="1"/>
    <w:link w:val="72"/>
    <w:qFormat/>
    <w:uiPriority w:val="99"/>
    <w:pPr>
      <w:keepNext/>
      <w:keepLines/>
      <w:spacing w:before="240" w:after="64" w:line="317" w:lineRule="auto"/>
      <w:outlineLvl w:val="8"/>
    </w:pPr>
    <w:rPr>
      <w:rFonts w:ascii="Cambria" w:hAnsi="Cambria" w:cs="Cambria"/>
    </w:rPr>
  </w:style>
  <w:style w:type="character" w:default="1" w:styleId="47">
    <w:name w:val="Default Paragraph Font"/>
    <w:semiHidden/>
    <w:unhideWhenUsed/>
    <w:qFormat/>
    <w:uiPriority w:val="1"/>
  </w:style>
  <w:style w:type="table" w:default="1" w:styleId="45">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next w:val="1"/>
    <w:link w:val="90"/>
    <w:qFormat/>
    <w:uiPriority w:val="99"/>
    <w:pPr>
      <w:ind w:firstLine="420" w:firstLineChars="200"/>
    </w:pPr>
  </w:style>
  <w:style w:type="paragraph" w:styleId="3">
    <w:name w:val="Body Text Indent"/>
    <w:basedOn w:val="1"/>
    <w:next w:val="4"/>
    <w:link w:val="77"/>
    <w:qFormat/>
    <w:uiPriority w:val="99"/>
    <w:pPr>
      <w:spacing w:line="500" w:lineRule="exact"/>
      <w:ind w:firstLine="538"/>
    </w:pPr>
    <w:rPr>
      <w:sz w:val="28"/>
      <w:szCs w:val="28"/>
    </w:rPr>
  </w:style>
  <w:style w:type="paragraph" w:styleId="4">
    <w:name w:val="envelope return"/>
    <w:basedOn w:val="1"/>
    <w:next w:val="5"/>
    <w:qFormat/>
    <w:uiPriority w:val="99"/>
    <w:pPr>
      <w:snapToGrid w:val="0"/>
    </w:pPr>
    <w:rPr>
      <w:rFonts w:ascii="Arial" w:hAnsi="Arial"/>
    </w:rPr>
  </w:style>
  <w:style w:type="paragraph" w:styleId="5">
    <w:name w:val="toc 7"/>
    <w:basedOn w:val="1"/>
    <w:next w:val="1"/>
    <w:semiHidden/>
    <w:qFormat/>
    <w:uiPriority w:val="99"/>
    <w:pPr>
      <w:ind w:left="2520" w:leftChars="1200"/>
    </w:pPr>
    <w:rPr>
      <w:rFonts w:ascii="Calibri" w:hAnsi="Calibri" w:cs="Calibri"/>
    </w:rPr>
  </w:style>
  <w:style w:type="paragraph" w:styleId="15">
    <w:name w:val="caption"/>
    <w:basedOn w:val="1"/>
    <w:next w:val="1"/>
    <w:qFormat/>
    <w:uiPriority w:val="99"/>
    <w:rPr>
      <w:rFonts w:ascii="Cambria" w:hAnsi="Cambria" w:eastAsia="黑体" w:cs="Cambria"/>
      <w:sz w:val="20"/>
      <w:szCs w:val="20"/>
    </w:rPr>
  </w:style>
  <w:style w:type="paragraph" w:styleId="16">
    <w:name w:val="Document Map"/>
    <w:basedOn w:val="1"/>
    <w:link w:val="73"/>
    <w:semiHidden/>
    <w:qFormat/>
    <w:uiPriority w:val="99"/>
    <w:pPr>
      <w:shd w:val="clear" w:color="auto" w:fill="000080"/>
    </w:pPr>
    <w:rPr>
      <w:kern w:val="0"/>
      <w:sz w:val="20"/>
      <w:szCs w:val="20"/>
      <w:shd w:val="clear" w:color="auto" w:fill="000080"/>
    </w:rPr>
  </w:style>
  <w:style w:type="paragraph" w:styleId="17">
    <w:name w:val="annotation text"/>
    <w:basedOn w:val="1"/>
    <w:link w:val="74"/>
    <w:semiHidden/>
    <w:qFormat/>
    <w:uiPriority w:val="99"/>
    <w:pPr>
      <w:jc w:val="left"/>
    </w:pPr>
  </w:style>
  <w:style w:type="paragraph" w:styleId="18">
    <w:name w:val="Body Text 3"/>
    <w:basedOn w:val="1"/>
    <w:link w:val="75"/>
    <w:qFormat/>
    <w:uiPriority w:val="99"/>
    <w:rPr>
      <w:rFonts w:ascii="宋体" w:cs="宋体"/>
      <w:sz w:val="24"/>
      <w:szCs w:val="24"/>
    </w:rPr>
  </w:style>
  <w:style w:type="paragraph" w:styleId="19">
    <w:name w:val="Body Text"/>
    <w:basedOn w:val="1"/>
    <w:link w:val="76"/>
    <w:qFormat/>
    <w:uiPriority w:val="99"/>
    <w:pPr>
      <w:jc w:val="center"/>
    </w:pPr>
    <w:rPr>
      <w:b/>
      <w:bCs/>
      <w:sz w:val="44"/>
      <w:szCs w:val="44"/>
    </w:rPr>
  </w:style>
  <w:style w:type="paragraph" w:styleId="20">
    <w:name w:val="Block Text"/>
    <w:basedOn w:val="1"/>
    <w:qFormat/>
    <w:uiPriority w:val="99"/>
    <w:pPr>
      <w:spacing w:line="400" w:lineRule="exact"/>
      <w:ind w:left="-359" w:leftChars="-171" w:right="31" w:rightChars="15" w:firstLine="980" w:firstLineChars="350"/>
    </w:pPr>
    <w:rPr>
      <w:rFonts w:ascii="宋体" w:hAnsi="宋体" w:cs="宋体"/>
      <w:sz w:val="28"/>
      <w:szCs w:val="28"/>
    </w:rPr>
  </w:style>
  <w:style w:type="paragraph" w:styleId="21">
    <w:name w:val="index 4"/>
    <w:basedOn w:val="1"/>
    <w:next w:val="1"/>
    <w:semiHidden/>
    <w:qFormat/>
    <w:uiPriority w:val="99"/>
    <w:pPr>
      <w:ind w:left="600" w:leftChars="600"/>
    </w:pPr>
  </w:style>
  <w:style w:type="paragraph" w:styleId="22">
    <w:name w:val="toc 5"/>
    <w:basedOn w:val="1"/>
    <w:next w:val="1"/>
    <w:semiHidden/>
    <w:qFormat/>
    <w:uiPriority w:val="99"/>
    <w:pPr>
      <w:tabs>
        <w:tab w:val="right" w:leader="dot" w:pos="8296"/>
      </w:tabs>
      <w:ind w:left="1050" w:leftChars="500"/>
    </w:pPr>
    <w:rPr>
      <w:rFonts w:ascii="Calibri" w:hAnsi="Calibri" w:cs="Calibri"/>
    </w:rPr>
  </w:style>
  <w:style w:type="paragraph" w:styleId="23">
    <w:name w:val="toc 3"/>
    <w:basedOn w:val="1"/>
    <w:next w:val="1"/>
    <w:semiHidden/>
    <w:qFormat/>
    <w:uiPriority w:val="99"/>
    <w:pPr>
      <w:ind w:left="840" w:leftChars="400"/>
    </w:pPr>
    <w:rPr>
      <w:rFonts w:ascii="Calibri" w:hAnsi="Calibri" w:cs="Calibri"/>
    </w:rPr>
  </w:style>
  <w:style w:type="paragraph" w:styleId="24">
    <w:name w:val="Plain Text"/>
    <w:basedOn w:val="1"/>
    <w:next w:val="1"/>
    <w:link w:val="78"/>
    <w:qFormat/>
    <w:uiPriority w:val="99"/>
    <w:rPr>
      <w:rFonts w:ascii="宋体" w:hAnsi="Courier New" w:cs="宋体"/>
    </w:rPr>
  </w:style>
  <w:style w:type="paragraph" w:styleId="25">
    <w:name w:val="toc 8"/>
    <w:basedOn w:val="1"/>
    <w:next w:val="1"/>
    <w:semiHidden/>
    <w:qFormat/>
    <w:uiPriority w:val="99"/>
    <w:pPr>
      <w:ind w:left="2940" w:leftChars="1400"/>
    </w:pPr>
    <w:rPr>
      <w:rFonts w:ascii="Calibri" w:hAnsi="Calibri" w:cs="Calibri"/>
    </w:rPr>
  </w:style>
  <w:style w:type="paragraph" w:styleId="26">
    <w:name w:val="Date"/>
    <w:basedOn w:val="1"/>
    <w:next w:val="1"/>
    <w:link w:val="79"/>
    <w:qFormat/>
    <w:uiPriority w:val="99"/>
    <w:rPr>
      <w:rFonts w:ascii="仿宋_GB2312" w:eastAsia="仿宋_GB2312" w:cs="仿宋_GB2312"/>
      <w:sz w:val="30"/>
      <w:szCs w:val="30"/>
    </w:rPr>
  </w:style>
  <w:style w:type="paragraph" w:styleId="27">
    <w:name w:val="Body Text Indent 2"/>
    <w:basedOn w:val="1"/>
    <w:link w:val="80"/>
    <w:qFormat/>
    <w:uiPriority w:val="99"/>
    <w:pPr>
      <w:spacing w:line="360" w:lineRule="exact"/>
      <w:ind w:firstLine="600" w:firstLineChars="250"/>
      <w:jc w:val="left"/>
    </w:pPr>
    <w:rPr>
      <w:sz w:val="24"/>
      <w:szCs w:val="24"/>
    </w:rPr>
  </w:style>
  <w:style w:type="paragraph" w:styleId="28">
    <w:name w:val="Balloon Text"/>
    <w:basedOn w:val="1"/>
    <w:link w:val="81"/>
    <w:semiHidden/>
    <w:qFormat/>
    <w:uiPriority w:val="99"/>
    <w:rPr>
      <w:sz w:val="18"/>
      <w:szCs w:val="18"/>
    </w:rPr>
  </w:style>
  <w:style w:type="paragraph" w:styleId="29">
    <w:name w:val="footer"/>
    <w:basedOn w:val="1"/>
    <w:link w:val="82"/>
    <w:qFormat/>
    <w:uiPriority w:val="99"/>
    <w:pPr>
      <w:tabs>
        <w:tab w:val="center" w:pos="4153"/>
        <w:tab w:val="right" w:pos="8306"/>
      </w:tabs>
      <w:snapToGrid w:val="0"/>
      <w:jc w:val="left"/>
    </w:pPr>
    <w:rPr>
      <w:sz w:val="18"/>
      <w:szCs w:val="18"/>
    </w:rPr>
  </w:style>
  <w:style w:type="paragraph" w:styleId="30">
    <w:name w:val="header"/>
    <w:basedOn w:val="1"/>
    <w:link w:val="83"/>
    <w:qFormat/>
    <w:uiPriority w:val="99"/>
    <w:pPr>
      <w:pBdr>
        <w:bottom w:val="single" w:color="auto" w:sz="6" w:space="1"/>
      </w:pBdr>
      <w:tabs>
        <w:tab w:val="center" w:pos="4153"/>
        <w:tab w:val="right" w:pos="8306"/>
      </w:tabs>
      <w:snapToGrid w:val="0"/>
      <w:jc w:val="center"/>
    </w:pPr>
    <w:rPr>
      <w:sz w:val="18"/>
      <w:szCs w:val="18"/>
    </w:rPr>
  </w:style>
  <w:style w:type="paragraph" w:styleId="31">
    <w:name w:val="toc 1"/>
    <w:basedOn w:val="1"/>
    <w:next w:val="1"/>
    <w:semiHidden/>
    <w:qFormat/>
    <w:uiPriority w:val="99"/>
    <w:pPr>
      <w:tabs>
        <w:tab w:val="right" w:leader="dot" w:pos="8296"/>
      </w:tabs>
    </w:pPr>
    <w:rPr>
      <w:rFonts w:ascii="宋体" w:eastAsia="楷体_GB2312" w:cs="宋体"/>
      <w:b/>
      <w:bCs/>
      <w:kern w:val="0"/>
      <w:sz w:val="28"/>
      <w:szCs w:val="28"/>
    </w:rPr>
  </w:style>
  <w:style w:type="paragraph" w:styleId="32">
    <w:name w:val="toc 4"/>
    <w:basedOn w:val="1"/>
    <w:next w:val="1"/>
    <w:semiHidden/>
    <w:qFormat/>
    <w:uiPriority w:val="99"/>
    <w:pPr>
      <w:tabs>
        <w:tab w:val="left" w:pos="1890"/>
        <w:tab w:val="right" w:leader="dot" w:pos="8296"/>
      </w:tabs>
      <w:ind w:left="630" w:leftChars="300"/>
    </w:pPr>
    <w:rPr>
      <w:rFonts w:ascii="Calibri" w:hAnsi="Calibri" w:cs="Calibri"/>
    </w:rPr>
  </w:style>
  <w:style w:type="paragraph" w:styleId="33">
    <w:name w:val="Subtitle"/>
    <w:basedOn w:val="1"/>
    <w:next w:val="1"/>
    <w:link w:val="84"/>
    <w:qFormat/>
    <w:uiPriority w:val="99"/>
    <w:pPr>
      <w:spacing w:before="240" w:after="60" w:line="312" w:lineRule="auto"/>
      <w:jc w:val="center"/>
      <w:outlineLvl w:val="1"/>
    </w:pPr>
    <w:rPr>
      <w:rFonts w:ascii="Cambria" w:hAnsi="Cambria" w:cs="Cambria"/>
      <w:b/>
      <w:bCs/>
      <w:kern w:val="28"/>
      <w:sz w:val="32"/>
      <w:szCs w:val="32"/>
    </w:rPr>
  </w:style>
  <w:style w:type="paragraph" w:styleId="34">
    <w:name w:val="List"/>
    <w:basedOn w:val="1"/>
    <w:qFormat/>
    <w:locked/>
    <w:uiPriority w:val="0"/>
    <w:pPr>
      <w:ind w:left="200" w:hanging="200" w:hangingChars="200"/>
    </w:pPr>
  </w:style>
  <w:style w:type="paragraph" w:styleId="35">
    <w:name w:val="footnote text"/>
    <w:basedOn w:val="1"/>
    <w:link w:val="85"/>
    <w:semiHidden/>
    <w:qFormat/>
    <w:uiPriority w:val="99"/>
    <w:rPr>
      <w:sz w:val="20"/>
      <w:szCs w:val="20"/>
    </w:rPr>
  </w:style>
  <w:style w:type="paragraph" w:styleId="36">
    <w:name w:val="toc 6"/>
    <w:basedOn w:val="1"/>
    <w:next w:val="1"/>
    <w:semiHidden/>
    <w:qFormat/>
    <w:uiPriority w:val="99"/>
    <w:pPr>
      <w:ind w:left="2100" w:leftChars="1000"/>
    </w:pPr>
    <w:rPr>
      <w:rFonts w:ascii="Calibri" w:hAnsi="Calibri" w:cs="Calibri"/>
    </w:rPr>
  </w:style>
  <w:style w:type="paragraph" w:styleId="37">
    <w:name w:val="Body Text Indent 3"/>
    <w:basedOn w:val="1"/>
    <w:link w:val="86"/>
    <w:qFormat/>
    <w:uiPriority w:val="99"/>
    <w:pPr>
      <w:spacing w:after="120"/>
      <w:ind w:left="420" w:leftChars="200"/>
    </w:pPr>
    <w:rPr>
      <w:sz w:val="16"/>
      <w:szCs w:val="16"/>
    </w:rPr>
  </w:style>
  <w:style w:type="paragraph" w:styleId="38">
    <w:name w:val="table of figures"/>
    <w:basedOn w:val="1"/>
    <w:next w:val="1"/>
    <w:semiHidden/>
    <w:qFormat/>
    <w:uiPriority w:val="99"/>
    <w:pPr>
      <w:ind w:left="200" w:leftChars="200" w:hanging="200" w:hangingChars="200"/>
    </w:pPr>
  </w:style>
  <w:style w:type="paragraph" w:styleId="39">
    <w:name w:val="toc 2"/>
    <w:basedOn w:val="1"/>
    <w:next w:val="1"/>
    <w:semiHidden/>
    <w:qFormat/>
    <w:uiPriority w:val="99"/>
    <w:pPr>
      <w:ind w:left="420" w:leftChars="200"/>
    </w:pPr>
    <w:rPr>
      <w:rFonts w:ascii="宋体" w:cs="宋体"/>
      <w:b/>
      <w:bCs/>
      <w:sz w:val="28"/>
      <w:szCs w:val="28"/>
    </w:rPr>
  </w:style>
  <w:style w:type="paragraph" w:styleId="40">
    <w:name w:val="toc 9"/>
    <w:basedOn w:val="1"/>
    <w:next w:val="1"/>
    <w:semiHidden/>
    <w:qFormat/>
    <w:uiPriority w:val="99"/>
    <w:pPr>
      <w:ind w:left="3360" w:leftChars="1600"/>
    </w:pPr>
    <w:rPr>
      <w:rFonts w:ascii="Calibri" w:hAnsi="Calibri" w:cs="Calibri"/>
    </w:rPr>
  </w:style>
  <w:style w:type="paragraph" w:styleId="41">
    <w:name w:val="Body Text 2"/>
    <w:basedOn w:val="1"/>
    <w:link w:val="87"/>
    <w:qFormat/>
    <w:uiPriority w:val="99"/>
    <w:pPr>
      <w:spacing w:line="440" w:lineRule="exact"/>
    </w:pPr>
    <w:rPr>
      <w:sz w:val="28"/>
      <w:szCs w:val="28"/>
    </w:rPr>
  </w:style>
  <w:style w:type="paragraph" w:styleId="42">
    <w:name w:val="Normal (Web)"/>
    <w:basedOn w:val="1"/>
    <w:qFormat/>
    <w:uiPriority w:val="99"/>
    <w:pPr>
      <w:widowControl/>
      <w:spacing w:before="100" w:beforeAutospacing="1" w:after="100" w:afterAutospacing="1" w:line="320" w:lineRule="atLeast"/>
      <w:jc w:val="left"/>
    </w:pPr>
    <w:rPr>
      <w:rFonts w:ascii="宋体" w:hAnsi="宋体" w:cs="宋体"/>
      <w:kern w:val="0"/>
      <w:sz w:val="18"/>
      <w:szCs w:val="18"/>
    </w:rPr>
  </w:style>
  <w:style w:type="paragraph" w:styleId="43">
    <w:name w:val="Title"/>
    <w:basedOn w:val="1"/>
    <w:next w:val="1"/>
    <w:link w:val="88"/>
    <w:qFormat/>
    <w:uiPriority w:val="99"/>
    <w:pPr>
      <w:spacing w:before="240" w:after="60"/>
      <w:jc w:val="center"/>
      <w:outlineLvl w:val="0"/>
    </w:pPr>
    <w:rPr>
      <w:rFonts w:ascii="Cambria" w:hAnsi="Cambria" w:cs="Cambria"/>
      <w:b/>
      <w:bCs/>
      <w:sz w:val="32"/>
      <w:szCs w:val="32"/>
    </w:rPr>
  </w:style>
  <w:style w:type="paragraph" w:styleId="44">
    <w:name w:val="annotation subject"/>
    <w:basedOn w:val="17"/>
    <w:next w:val="17"/>
    <w:link w:val="89"/>
    <w:semiHidden/>
    <w:qFormat/>
    <w:uiPriority w:val="99"/>
    <w:rPr>
      <w:rFonts w:ascii="宋体" w:cs="宋体"/>
      <w:b/>
      <w:bCs/>
      <w:kern w:val="0"/>
      <w:sz w:val="28"/>
      <w:szCs w:val="28"/>
    </w:rPr>
  </w:style>
  <w:style w:type="table" w:styleId="46">
    <w:name w:val="Table Grid"/>
    <w:basedOn w:val="45"/>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48">
    <w:name w:val="Strong"/>
    <w:basedOn w:val="47"/>
    <w:qFormat/>
    <w:uiPriority w:val="99"/>
    <w:rPr>
      <w:rFonts w:cs="Times New Roman"/>
      <w:b/>
      <w:bCs/>
    </w:rPr>
  </w:style>
  <w:style w:type="character" w:styleId="49">
    <w:name w:val="page number"/>
    <w:basedOn w:val="47"/>
    <w:qFormat/>
    <w:uiPriority w:val="99"/>
    <w:rPr>
      <w:rFonts w:cs="Times New Roman"/>
    </w:rPr>
  </w:style>
  <w:style w:type="character" w:styleId="50">
    <w:name w:val="FollowedHyperlink"/>
    <w:basedOn w:val="47"/>
    <w:qFormat/>
    <w:uiPriority w:val="99"/>
    <w:rPr>
      <w:rFonts w:cs="Times New Roman"/>
      <w:color w:val="333333"/>
      <w:u w:val="none"/>
    </w:rPr>
  </w:style>
  <w:style w:type="character" w:styleId="51">
    <w:name w:val="Emphasis"/>
    <w:basedOn w:val="47"/>
    <w:qFormat/>
    <w:uiPriority w:val="99"/>
    <w:rPr>
      <w:rFonts w:cs="Times New Roman"/>
      <w:color w:val="auto"/>
    </w:rPr>
  </w:style>
  <w:style w:type="character" w:styleId="52">
    <w:name w:val="HTML Definition"/>
    <w:basedOn w:val="47"/>
    <w:qFormat/>
    <w:uiPriority w:val="99"/>
    <w:rPr>
      <w:rFonts w:cs="Times New Roman"/>
    </w:rPr>
  </w:style>
  <w:style w:type="character" w:styleId="53">
    <w:name w:val="HTML Typewriter"/>
    <w:basedOn w:val="47"/>
    <w:qFormat/>
    <w:uiPriority w:val="99"/>
    <w:rPr>
      <w:rFonts w:ascii="monospace" w:hAnsi="monospace" w:cs="monospace"/>
      <w:sz w:val="20"/>
    </w:rPr>
  </w:style>
  <w:style w:type="character" w:styleId="54">
    <w:name w:val="HTML Acronym"/>
    <w:basedOn w:val="47"/>
    <w:qFormat/>
    <w:uiPriority w:val="99"/>
    <w:rPr>
      <w:rFonts w:cs="Times New Roman"/>
    </w:rPr>
  </w:style>
  <w:style w:type="character" w:styleId="55">
    <w:name w:val="HTML Variable"/>
    <w:basedOn w:val="47"/>
    <w:qFormat/>
    <w:uiPriority w:val="99"/>
    <w:rPr>
      <w:rFonts w:cs="Times New Roman"/>
    </w:rPr>
  </w:style>
  <w:style w:type="character" w:styleId="56">
    <w:name w:val="Hyperlink"/>
    <w:basedOn w:val="47"/>
    <w:qFormat/>
    <w:uiPriority w:val="99"/>
    <w:rPr>
      <w:rFonts w:cs="Times New Roman"/>
      <w:color w:val="333333"/>
      <w:u w:val="none"/>
    </w:rPr>
  </w:style>
  <w:style w:type="character" w:styleId="57">
    <w:name w:val="HTML Code"/>
    <w:basedOn w:val="47"/>
    <w:qFormat/>
    <w:uiPriority w:val="99"/>
    <w:rPr>
      <w:rFonts w:ascii="monospace" w:hAnsi="monospace" w:cs="monospace"/>
      <w:sz w:val="20"/>
    </w:rPr>
  </w:style>
  <w:style w:type="character" w:styleId="58">
    <w:name w:val="annotation reference"/>
    <w:basedOn w:val="47"/>
    <w:semiHidden/>
    <w:qFormat/>
    <w:uiPriority w:val="99"/>
    <w:rPr>
      <w:rFonts w:cs="Times New Roman"/>
      <w:sz w:val="21"/>
      <w:szCs w:val="21"/>
    </w:rPr>
  </w:style>
  <w:style w:type="character" w:styleId="59">
    <w:name w:val="HTML Cite"/>
    <w:basedOn w:val="47"/>
    <w:qFormat/>
    <w:uiPriority w:val="99"/>
    <w:rPr>
      <w:rFonts w:cs="Times New Roman"/>
    </w:rPr>
  </w:style>
  <w:style w:type="character" w:styleId="60">
    <w:name w:val="footnote reference"/>
    <w:basedOn w:val="47"/>
    <w:semiHidden/>
    <w:qFormat/>
    <w:uiPriority w:val="99"/>
    <w:rPr>
      <w:rFonts w:cs="Times New Roman"/>
      <w:vertAlign w:val="superscript"/>
    </w:rPr>
  </w:style>
  <w:style w:type="character" w:styleId="61">
    <w:name w:val="HTML Keyboard"/>
    <w:basedOn w:val="47"/>
    <w:qFormat/>
    <w:uiPriority w:val="99"/>
    <w:rPr>
      <w:rFonts w:ascii="monospace" w:hAnsi="monospace" w:cs="monospace"/>
      <w:sz w:val="20"/>
    </w:rPr>
  </w:style>
  <w:style w:type="character" w:styleId="62">
    <w:name w:val="HTML Sample"/>
    <w:basedOn w:val="47"/>
    <w:qFormat/>
    <w:uiPriority w:val="99"/>
    <w:rPr>
      <w:rFonts w:ascii="monospace" w:hAnsi="monospace" w:cs="monospace"/>
    </w:rPr>
  </w:style>
  <w:style w:type="paragraph" w:customStyle="1" w:styleId="63">
    <w:name w:val="Normal Indent1"/>
    <w:basedOn w:val="1"/>
    <w:qFormat/>
    <w:uiPriority w:val="0"/>
    <w:pPr>
      <w:adjustRightInd w:val="0"/>
      <w:spacing w:line="360" w:lineRule="atLeast"/>
      <w:ind w:firstLine="482"/>
      <w:textAlignment w:val="baseline"/>
    </w:pPr>
    <w:rPr>
      <w:kern w:val="0"/>
      <w:sz w:val="24"/>
      <w:szCs w:val="24"/>
    </w:rPr>
  </w:style>
  <w:style w:type="character" w:customStyle="1" w:styleId="64">
    <w:name w:val="标题 1 字符"/>
    <w:basedOn w:val="47"/>
    <w:link w:val="6"/>
    <w:qFormat/>
    <w:locked/>
    <w:uiPriority w:val="99"/>
    <w:rPr>
      <w:rFonts w:ascii="Times New Roman" w:hAnsi="Times New Roman" w:eastAsia="仿宋" w:cs="Times New Roman"/>
      <w:b/>
      <w:bCs/>
      <w:kern w:val="44"/>
      <w:sz w:val="44"/>
      <w:szCs w:val="44"/>
      <w:lang w:val="en-US" w:eastAsia="zh-CN"/>
    </w:rPr>
  </w:style>
  <w:style w:type="character" w:customStyle="1" w:styleId="65">
    <w:name w:val="标题 2 字符"/>
    <w:basedOn w:val="47"/>
    <w:link w:val="7"/>
    <w:qFormat/>
    <w:locked/>
    <w:uiPriority w:val="99"/>
    <w:rPr>
      <w:rFonts w:ascii="Arial" w:hAnsi="Arial" w:eastAsia="黑体" w:cs="Arial"/>
      <w:b/>
      <w:bCs/>
      <w:kern w:val="2"/>
      <w:sz w:val="32"/>
      <w:szCs w:val="32"/>
      <w:lang w:val="en-US" w:eastAsia="zh-CN"/>
    </w:rPr>
  </w:style>
  <w:style w:type="character" w:customStyle="1" w:styleId="66">
    <w:name w:val="标题 3 字符"/>
    <w:basedOn w:val="47"/>
    <w:link w:val="8"/>
    <w:qFormat/>
    <w:locked/>
    <w:uiPriority w:val="99"/>
    <w:rPr>
      <w:rFonts w:eastAsia="宋体" w:cs="Times New Roman"/>
      <w:b/>
      <w:bCs/>
      <w:kern w:val="2"/>
      <w:sz w:val="32"/>
      <w:szCs w:val="32"/>
      <w:lang w:val="en-US" w:eastAsia="zh-CN"/>
    </w:rPr>
  </w:style>
  <w:style w:type="character" w:customStyle="1" w:styleId="67">
    <w:name w:val="标题 4 字符"/>
    <w:basedOn w:val="47"/>
    <w:link w:val="9"/>
    <w:qFormat/>
    <w:locked/>
    <w:uiPriority w:val="99"/>
    <w:rPr>
      <w:rFonts w:ascii="Cambria" w:hAnsi="Cambria" w:eastAsia="宋体" w:cs="Cambria"/>
      <w:b/>
      <w:bCs/>
      <w:kern w:val="2"/>
      <w:sz w:val="28"/>
      <w:szCs w:val="28"/>
      <w:lang w:val="en-US" w:eastAsia="zh-CN"/>
    </w:rPr>
  </w:style>
  <w:style w:type="character" w:customStyle="1" w:styleId="68">
    <w:name w:val="标题 5 字符"/>
    <w:basedOn w:val="47"/>
    <w:link w:val="10"/>
    <w:qFormat/>
    <w:locked/>
    <w:uiPriority w:val="99"/>
    <w:rPr>
      <w:rFonts w:ascii="Calibri" w:hAnsi="Calibri" w:eastAsia="宋体" w:cs="Calibri"/>
      <w:b/>
      <w:bCs/>
      <w:kern w:val="2"/>
      <w:sz w:val="28"/>
      <w:szCs w:val="28"/>
      <w:lang w:val="en-US" w:eastAsia="zh-CN"/>
    </w:rPr>
  </w:style>
  <w:style w:type="character" w:customStyle="1" w:styleId="69">
    <w:name w:val="标题 6 字符"/>
    <w:basedOn w:val="47"/>
    <w:link w:val="11"/>
    <w:qFormat/>
    <w:locked/>
    <w:uiPriority w:val="99"/>
    <w:rPr>
      <w:rFonts w:ascii="Cambria" w:hAnsi="Cambria" w:eastAsia="宋体" w:cs="Cambria"/>
      <w:b/>
      <w:bCs/>
      <w:kern w:val="2"/>
      <w:sz w:val="24"/>
      <w:szCs w:val="24"/>
      <w:lang w:val="en-US" w:eastAsia="zh-CN"/>
    </w:rPr>
  </w:style>
  <w:style w:type="character" w:customStyle="1" w:styleId="70">
    <w:name w:val="标题 7 字符"/>
    <w:basedOn w:val="47"/>
    <w:link w:val="12"/>
    <w:qFormat/>
    <w:locked/>
    <w:uiPriority w:val="99"/>
    <w:rPr>
      <w:rFonts w:ascii="Calibri" w:hAnsi="Calibri" w:eastAsia="宋体" w:cs="Calibri"/>
      <w:b/>
      <w:bCs/>
      <w:kern w:val="2"/>
      <w:sz w:val="24"/>
      <w:szCs w:val="24"/>
      <w:lang w:val="en-US" w:eastAsia="zh-CN"/>
    </w:rPr>
  </w:style>
  <w:style w:type="character" w:customStyle="1" w:styleId="71">
    <w:name w:val="标题 8 字符"/>
    <w:basedOn w:val="47"/>
    <w:link w:val="13"/>
    <w:qFormat/>
    <w:locked/>
    <w:uiPriority w:val="99"/>
    <w:rPr>
      <w:rFonts w:ascii="Cambria" w:hAnsi="Cambria" w:eastAsia="宋体" w:cs="Cambria"/>
      <w:kern w:val="2"/>
      <w:sz w:val="24"/>
      <w:szCs w:val="24"/>
      <w:lang w:val="en-US" w:eastAsia="zh-CN"/>
    </w:rPr>
  </w:style>
  <w:style w:type="character" w:customStyle="1" w:styleId="72">
    <w:name w:val="标题 9 字符"/>
    <w:basedOn w:val="47"/>
    <w:link w:val="14"/>
    <w:qFormat/>
    <w:locked/>
    <w:uiPriority w:val="99"/>
    <w:rPr>
      <w:rFonts w:ascii="Cambria" w:hAnsi="Cambria" w:eastAsia="宋体" w:cs="Cambria"/>
      <w:kern w:val="2"/>
      <w:sz w:val="21"/>
      <w:szCs w:val="21"/>
      <w:lang w:val="en-US" w:eastAsia="zh-CN"/>
    </w:rPr>
  </w:style>
  <w:style w:type="character" w:customStyle="1" w:styleId="73">
    <w:name w:val="文档结构图 字符"/>
    <w:basedOn w:val="47"/>
    <w:link w:val="16"/>
    <w:qFormat/>
    <w:locked/>
    <w:uiPriority w:val="99"/>
    <w:rPr>
      <w:rFonts w:cs="Times New Roman"/>
      <w:sz w:val="24"/>
      <w:szCs w:val="24"/>
      <w:shd w:val="clear" w:color="auto" w:fill="000080"/>
    </w:rPr>
  </w:style>
  <w:style w:type="character" w:customStyle="1" w:styleId="74">
    <w:name w:val="批注文字 字符"/>
    <w:basedOn w:val="47"/>
    <w:link w:val="17"/>
    <w:qFormat/>
    <w:locked/>
    <w:uiPriority w:val="99"/>
    <w:rPr>
      <w:rFonts w:cs="Times New Roman"/>
      <w:kern w:val="2"/>
      <w:sz w:val="22"/>
      <w:szCs w:val="22"/>
    </w:rPr>
  </w:style>
  <w:style w:type="character" w:customStyle="1" w:styleId="75">
    <w:name w:val="正文文本 3 字符"/>
    <w:basedOn w:val="47"/>
    <w:link w:val="18"/>
    <w:semiHidden/>
    <w:qFormat/>
    <w:locked/>
    <w:uiPriority w:val="99"/>
    <w:rPr>
      <w:rFonts w:cs="Times New Roman"/>
      <w:sz w:val="16"/>
      <w:szCs w:val="16"/>
    </w:rPr>
  </w:style>
  <w:style w:type="character" w:customStyle="1" w:styleId="76">
    <w:name w:val="正文文本 字符"/>
    <w:basedOn w:val="47"/>
    <w:link w:val="19"/>
    <w:qFormat/>
    <w:locked/>
    <w:uiPriority w:val="99"/>
    <w:rPr>
      <w:rFonts w:eastAsia="宋体" w:cs="Times New Roman"/>
      <w:b/>
      <w:bCs/>
      <w:kern w:val="2"/>
      <w:sz w:val="44"/>
      <w:szCs w:val="44"/>
      <w:lang w:val="en-US" w:eastAsia="zh-CN"/>
    </w:rPr>
  </w:style>
  <w:style w:type="character" w:customStyle="1" w:styleId="77">
    <w:name w:val="正文文本缩进 字符"/>
    <w:basedOn w:val="47"/>
    <w:link w:val="3"/>
    <w:semiHidden/>
    <w:qFormat/>
    <w:locked/>
    <w:uiPriority w:val="99"/>
    <w:rPr>
      <w:rFonts w:cs="Times New Roman"/>
      <w:sz w:val="21"/>
      <w:szCs w:val="21"/>
    </w:rPr>
  </w:style>
  <w:style w:type="character" w:customStyle="1" w:styleId="78">
    <w:name w:val="纯文本 字符"/>
    <w:basedOn w:val="47"/>
    <w:link w:val="24"/>
    <w:semiHidden/>
    <w:qFormat/>
    <w:locked/>
    <w:uiPriority w:val="99"/>
    <w:rPr>
      <w:rFonts w:ascii="宋体" w:hAnsi="Courier New" w:cs="Courier New"/>
      <w:sz w:val="21"/>
      <w:szCs w:val="21"/>
    </w:rPr>
  </w:style>
  <w:style w:type="character" w:customStyle="1" w:styleId="79">
    <w:name w:val="日期 字符"/>
    <w:basedOn w:val="47"/>
    <w:link w:val="26"/>
    <w:qFormat/>
    <w:locked/>
    <w:uiPriority w:val="99"/>
    <w:rPr>
      <w:rFonts w:ascii="仿宋_GB2312" w:eastAsia="仿宋_GB2312" w:cs="仿宋_GB2312"/>
      <w:kern w:val="2"/>
      <w:sz w:val="30"/>
      <w:szCs w:val="30"/>
      <w:lang w:val="en-US" w:eastAsia="zh-CN"/>
    </w:rPr>
  </w:style>
  <w:style w:type="character" w:customStyle="1" w:styleId="80">
    <w:name w:val="正文文本缩进 2 字符"/>
    <w:basedOn w:val="47"/>
    <w:link w:val="27"/>
    <w:semiHidden/>
    <w:qFormat/>
    <w:locked/>
    <w:uiPriority w:val="99"/>
    <w:rPr>
      <w:rFonts w:cs="Times New Roman"/>
      <w:sz w:val="21"/>
      <w:szCs w:val="21"/>
    </w:rPr>
  </w:style>
  <w:style w:type="character" w:customStyle="1" w:styleId="81">
    <w:name w:val="批注框文本 字符"/>
    <w:basedOn w:val="47"/>
    <w:link w:val="28"/>
    <w:semiHidden/>
    <w:qFormat/>
    <w:locked/>
    <w:uiPriority w:val="99"/>
    <w:rPr>
      <w:rFonts w:cs="Times New Roman"/>
      <w:sz w:val="2"/>
    </w:rPr>
  </w:style>
  <w:style w:type="character" w:customStyle="1" w:styleId="82">
    <w:name w:val="页脚 字符"/>
    <w:basedOn w:val="47"/>
    <w:link w:val="29"/>
    <w:qFormat/>
    <w:locked/>
    <w:uiPriority w:val="99"/>
    <w:rPr>
      <w:rFonts w:eastAsia="宋体" w:cs="Times New Roman"/>
      <w:kern w:val="2"/>
      <w:sz w:val="18"/>
      <w:szCs w:val="18"/>
      <w:lang w:val="en-US" w:eastAsia="zh-CN"/>
    </w:rPr>
  </w:style>
  <w:style w:type="character" w:customStyle="1" w:styleId="83">
    <w:name w:val="页眉 字符"/>
    <w:basedOn w:val="47"/>
    <w:link w:val="30"/>
    <w:qFormat/>
    <w:locked/>
    <w:uiPriority w:val="99"/>
    <w:rPr>
      <w:rFonts w:eastAsia="宋体" w:cs="Times New Roman"/>
      <w:kern w:val="2"/>
      <w:sz w:val="18"/>
      <w:szCs w:val="18"/>
      <w:lang w:val="en-US" w:eastAsia="zh-CN"/>
    </w:rPr>
  </w:style>
  <w:style w:type="character" w:customStyle="1" w:styleId="84">
    <w:name w:val="副标题 字符"/>
    <w:basedOn w:val="47"/>
    <w:link w:val="33"/>
    <w:qFormat/>
    <w:locked/>
    <w:uiPriority w:val="99"/>
    <w:rPr>
      <w:rFonts w:ascii="Cambria" w:hAnsi="Cambria" w:cs="Cambria"/>
      <w:b/>
      <w:bCs/>
      <w:kern w:val="28"/>
      <w:sz w:val="32"/>
      <w:szCs w:val="32"/>
    </w:rPr>
  </w:style>
  <w:style w:type="character" w:customStyle="1" w:styleId="85">
    <w:name w:val="脚注文本 字符"/>
    <w:basedOn w:val="47"/>
    <w:link w:val="35"/>
    <w:semiHidden/>
    <w:qFormat/>
    <w:locked/>
    <w:uiPriority w:val="99"/>
    <w:rPr>
      <w:rFonts w:cs="Times New Roman"/>
      <w:sz w:val="18"/>
      <w:szCs w:val="18"/>
    </w:rPr>
  </w:style>
  <w:style w:type="character" w:customStyle="1" w:styleId="86">
    <w:name w:val="正文文本缩进 3 字符"/>
    <w:basedOn w:val="47"/>
    <w:link w:val="37"/>
    <w:semiHidden/>
    <w:qFormat/>
    <w:locked/>
    <w:uiPriority w:val="99"/>
    <w:rPr>
      <w:rFonts w:cs="Times New Roman"/>
      <w:sz w:val="16"/>
      <w:szCs w:val="16"/>
    </w:rPr>
  </w:style>
  <w:style w:type="character" w:customStyle="1" w:styleId="87">
    <w:name w:val="正文文本 2 字符"/>
    <w:basedOn w:val="47"/>
    <w:link w:val="41"/>
    <w:semiHidden/>
    <w:qFormat/>
    <w:locked/>
    <w:uiPriority w:val="99"/>
    <w:rPr>
      <w:rFonts w:cs="Times New Roman"/>
      <w:sz w:val="21"/>
      <w:szCs w:val="21"/>
    </w:rPr>
  </w:style>
  <w:style w:type="character" w:customStyle="1" w:styleId="88">
    <w:name w:val="标题 字符"/>
    <w:basedOn w:val="47"/>
    <w:link w:val="43"/>
    <w:qFormat/>
    <w:locked/>
    <w:uiPriority w:val="99"/>
    <w:rPr>
      <w:rFonts w:ascii="Cambria" w:hAnsi="Cambria" w:cs="Cambria"/>
      <w:b/>
      <w:bCs/>
      <w:kern w:val="2"/>
      <w:sz w:val="32"/>
      <w:szCs w:val="32"/>
    </w:rPr>
  </w:style>
  <w:style w:type="character" w:customStyle="1" w:styleId="89">
    <w:name w:val="批注主题 字符"/>
    <w:basedOn w:val="74"/>
    <w:link w:val="44"/>
    <w:qFormat/>
    <w:locked/>
    <w:uiPriority w:val="99"/>
    <w:rPr>
      <w:rFonts w:ascii="宋体" w:cs="宋体"/>
      <w:b/>
      <w:bCs/>
      <w:kern w:val="2"/>
      <w:sz w:val="28"/>
      <w:szCs w:val="28"/>
    </w:rPr>
  </w:style>
  <w:style w:type="character" w:customStyle="1" w:styleId="90">
    <w:name w:val="正文文本首行缩进 2 字符"/>
    <w:basedOn w:val="77"/>
    <w:link w:val="2"/>
    <w:semiHidden/>
    <w:qFormat/>
    <w:locked/>
    <w:uiPriority w:val="99"/>
    <w:rPr>
      <w:rFonts w:cs="Times New Roman"/>
      <w:sz w:val="21"/>
      <w:szCs w:val="21"/>
    </w:rPr>
  </w:style>
  <w:style w:type="character" w:customStyle="1" w:styleId="91">
    <w:name w:val="批注文字 Char Char"/>
    <w:qFormat/>
    <w:uiPriority w:val="99"/>
    <w:rPr>
      <w:rFonts w:ascii="宋体" w:hAnsi="Times New Roman" w:eastAsia="宋体"/>
      <w:sz w:val="20"/>
    </w:rPr>
  </w:style>
  <w:style w:type="character" w:customStyle="1" w:styleId="92">
    <w:name w:val="标题 1 Char Char"/>
    <w:qFormat/>
    <w:locked/>
    <w:uiPriority w:val="99"/>
    <w:rPr>
      <w:rFonts w:eastAsia="宋体"/>
      <w:b/>
      <w:kern w:val="44"/>
      <w:sz w:val="44"/>
      <w:lang w:val="en-US" w:eastAsia="zh-CN"/>
    </w:rPr>
  </w:style>
  <w:style w:type="character" w:customStyle="1" w:styleId="93">
    <w:name w:val="Char Char"/>
    <w:qFormat/>
    <w:uiPriority w:val="99"/>
    <w:rPr>
      <w:rFonts w:ascii="Arial" w:hAnsi="Arial" w:eastAsia="黑体"/>
      <w:b/>
      <w:kern w:val="2"/>
      <w:sz w:val="32"/>
      <w:lang w:val="en-US" w:eastAsia="zh-CN"/>
    </w:rPr>
  </w:style>
  <w:style w:type="character" w:customStyle="1" w:styleId="94">
    <w:name w:val="明显参考1"/>
    <w:qFormat/>
    <w:uiPriority w:val="99"/>
    <w:rPr>
      <w:b/>
      <w:smallCaps/>
      <w:color w:val="auto"/>
      <w:spacing w:val="5"/>
      <w:u w:val="single"/>
    </w:rPr>
  </w:style>
  <w:style w:type="character" w:customStyle="1" w:styleId="95">
    <w:name w:val="明显强调1"/>
    <w:qFormat/>
    <w:uiPriority w:val="99"/>
    <w:rPr>
      <w:b/>
      <w:i/>
      <w:color w:val="4F81BD"/>
    </w:rPr>
  </w:style>
  <w:style w:type="character" w:customStyle="1" w:styleId="96">
    <w:name w:val="文档结构图 Char1"/>
    <w:qFormat/>
    <w:uiPriority w:val="99"/>
    <w:rPr>
      <w:rFonts w:ascii="宋体"/>
      <w:kern w:val="2"/>
      <w:sz w:val="18"/>
    </w:rPr>
  </w:style>
  <w:style w:type="character" w:customStyle="1" w:styleId="97">
    <w:name w:val="日期 Char"/>
    <w:qFormat/>
    <w:uiPriority w:val="99"/>
    <w:rPr>
      <w:rFonts w:ascii="仿宋_GB2312" w:eastAsia="仿宋_GB2312"/>
      <w:kern w:val="2"/>
      <w:sz w:val="30"/>
      <w:lang w:val="en-US" w:eastAsia="zh-CN"/>
    </w:rPr>
  </w:style>
  <w:style w:type="character" w:customStyle="1" w:styleId="98">
    <w:name w:val="textcontents"/>
    <w:qFormat/>
    <w:uiPriority w:val="99"/>
  </w:style>
  <w:style w:type="character" w:customStyle="1" w:styleId="99">
    <w:name w:val="引用 Char"/>
    <w:link w:val="100"/>
    <w:qFormat/>
    <w:locked/>
    <w:uiPriority w:val="99"/>
    <w:rPr>
      <w:i/>
      <w:color w:val="000000"/>
      <w:kern w:val="2"/>
      <w:sz w:val="22"/>
    </w:rPr>
  </w:style>
  <w:style w:type="paragraph" w:customStyle="1" w:styleId="100">
    <w:name w:val="引用1"/>
    <w:basedOn w:val="1"/>
    <w:next w:val="1"/>
    <w:link w:val="99"/>
    <w:qFormat/>
    <w:uiPriority w:val="99"/>
    <w:rPr>
      <w:i/>
      <w:color w:val="000000"/>
      <w:sz w:val="22"/>
      <w:szCs w:val="20"/>
    </w:rPr>
  </w:style>
  <w:style w:type="character" w:customStyle="1" w:styleId="101">
    <w:name w:val="日期 Char1"/>
    <w:qFormat/>
    <w:uiPriority w:val="99"/>
    <w:rPr>
      <w:kern w:val="2"/>
      <w:sz w:val="22"/>
    </w:rPr>
  </w:style>
  <w:style w:type="character" w:customStyle="1" w:styleId="102">
    <w:name w:val="不明显参考1"/>
    <w:qFormat/>
    <w:uiPriority w:val="99"/>
    <w:rPr>
      <w:smallCaps/>
      <w:color w:val="auto"/>
      <w:u w:val="single"/>
    </w:rPr>
  </w:style>
  <w:style w:type="character" w:customStyle="1" w:styleId="103">
    <w:name w:val="批注框文本 Char1"/>
    <w:qFormat/>
    <w:uiPriority w:val="99"/>
    <w:rPr>
      <w:kern w:val="2"/>
      <w:sz w:val="18"/>
    </w:rPr>
  </w:style>
  <w:style w:type="character" w:customStyle="1" w:styleId="104">
    <w:name w:val="不明显强调1"/>
    <w:qFormat/>
    <w:uiPriority w:val="99"/>
    <w:rPr>
      <w:i/>
      <w:color w:val="808080"/>
    </w:rPr>
  </w:style>
  <w:style w:type="character" w:customStyle="1" w:styleId="105">
    <w:name w:val="标题4 Char Char"/>
    <w:link w:val="106"/>
    <w:qFormat/>
    <w:locked/>
    <w:uiPriority w:val="99"/>
    <w:rPr>
      <w:rFonts w:ascii="Arial" w:hAnsi="Arial"/>
      <w:b/>
      <w:sz w:val="32"/>
    </w:rPr>
  </w:style>
  <w:style w:type="paragraph" w:customStyle="1" w:styleId="106">
    <w:name w:val="标题4"/>
    <w:basedOn w:val="7"/>
    <w:next w:val="21"/>
    <w:link w:val="105"/>
    <w:qFormat/>
    <w:uiPriority w:val="99"/>
    <w:pPr>
      <w:spacing w:line="413" w:lineRule="auto"/>
    </w:pPr>
    <w:rPr>
      <w:rFonts w:eastAsia="宋体" w:cs="Times New Roman"/>
      <w:bCs w:val="0"/>
      <w:kern w:val="0"/>
      <w:szCs w:val="20"/>
    </w:rPr>
  </w:style>
  <w:style w:type="character" w:customStyle="1" w:styleId="107">
    <w:name w:val="书籍标题1"/>
    <w:qFormat/>
    <w:uiPriority w:val="99"/>
    <w:rPr>
      <w:b/>
      <w:smallCaps/>
      <w:spacing w:val="5"/>
    </w:rPr>
  </w:style>
  <w:style w:type="character" w:customStyle="1" w:styleId="108">
    <w:name w:val="bigfont"/>
    <w:basedOn w:val="47"/>
    <w:qFormat/>
    <w:uiPriority w:val="99"/>
    <w:rPr>
      <w:rFonts w:cs="Times New Roman"/>
    </w:rPr>
  </w:style>
  <w:style w:type="character" w:customStyle="1" w:styleId="109">
    <w:name w:val="news_title1"/>
    <w:qFormat/>
    <w:uiPriority w:val="99"/>
    <w:rPr>
      <w:rFonts w:ascii="宋体" w:hAnsi="宋体" w:eastAsia="宋体"/>
      <w:b/>
      <w:color w:val="000000"/>
      <w:sz w:val="36"/>
      <w:u w:val="none"/>
    </w:rPr>
  </w:style>
  <w:style w:type="character" w:customStyle="1" w:styleId="110">
    <w:name w:val="标题5 Char Char"/>
    <w:link w:val="111"/>
    <w:qFormat/>
    <w:locked/>
    <w:uiPriority w:val="99"/>
    <w:rPr>
      <w:rFonts w:ascii="Arial" w:hAnsi="Arial"/>
      <w:b/>
      <w:sz w:val="32"/>
    </w:rPr>
  </w:style>
  <w:style w:type="paragraph" w:customStyle="1" w:styleId="111">
    <w:name w:val="标题5"/>
    <w:basedOn w:val="8"/>
    <w:link w:val="110"/>
    <w:qFormat/>
    <w:uiPriority w:val="99"/>
    <w:pPr>
      <w:spacing w:line="413" w:lineRule="auto"/>
    </w:pPr>
    <w:rPr>
      <w:rFonts w:ascii="Arial" w:hAnsi="Arial"/>
      <w:bCs w:val="0"/>
      <w:kern w:val="0"/>
      <w:szCs w:val="20"/>
    </w:rPr>
  </w:style>
  <w:style w:type="character" w:customStyle="1" w:styleId="112">
    <w:name w:val="font161"/>
    <w:qFormat/>
    <w:uiPriority w:val="99"/>
    <w:rPr>
      <w:b/>
      <w:sz w:val="32"/>
    </w:rPr>
  </w:style>
  <w:style w:type="character" w:customStyle="1" w:styleId="113">
    <w:name w:val="标题 2 Char Char"/>
    <w:qFormat/>
    <w:locked/>
    <w:uiPriority w:val="99"/>
    <w:rPr>
      <w:rFonts w:ascii="Arial" w:hAnsi="Arial" w:eastAsia="黑体"/>
      <w:b/>
      <w:kern w:val="2"/>
      <w:sz w:val="32"/>
      <w:lang w:val="en-US" w:eastAsia="zh-CN"/>
    </w:rPr>
  </w:style>
  <w:style w:type="character" w:customStyle="1" w:styleId="114">
    <w:name w:val="Char Char1"/>
    <w:qFormat/>
    <w:uiPriority w:val="99"/>
    <w:rPr>
      <w:rFonts w:ascii="宋体" w:hAnsi="Times New Roman"/>
      <w:sz w:val="28"/>
    </w:rPr>
  </w:style>
  <w:style w:type="character" w:customStyle="1" w:styleId="115">
    <w:name w:val="明显引用 Char"/>
    <w:link w:val="116"/>
    <w:qFormat/>
    <w:locked/>
    <w:uiPriority w:val="99"/>
    <w:rPr>
      <w:b/>
      <w:i/>
      <w:color w:val="4F81BD"/>
      <w:kern w:val="2"/>
      <w:sz w:val="22"/>
    </w:rPr>
  </w:style>
  <w:style w:type="paragraph" w:customStyle="1" w:styleId="116">
    <w:name w:val="明显引用1"/>
    <w:basedOn w:val="1"/>
    <w:next w:val="1"/>
    <w:link w:val="115"/>
    <w:qFormat/>
    <w:uiPriority w:val="99"/>
    <w:pPr>
      <w:pBdr>
        <w:bottom w:val="single" w:color="4F81BD" w:sz="4" w:space="4"/>
      </w:pBdr>
      <w:spacing w:before="200" w:after="280"/>
      <w:ind w:left="936" w:right="936"/>
    </w:pPr>
    <w:rPr>
      <w:b/>
      <w:i/>
      <w:color w:val="4F81BD"/>
      <w:sz w:val="22"/>
      <w:szCs w:val="20"/>
    </w:rPr>
  </w:style>
  <w:style w:type="character" w:customStyle="1" w:styleId="117">
    <w:name w:val="批注主题 Char1"/>
    <w:qFormat/>
    <w:uiPriority w:val="99"/>
    <w:rPr>
      <w:b/>
      <w:kern w:val="2"/>
      <w:sz w:val="22"/>
    </w:rPr>
  </w:style>
  <w:style w:type="character" w:customStyle="1" w:styleId="118">
    <w:name w:val="正文文本 Char1"/>
    <w:qFormat/>
    <w:uiPriority w:val="99"/>
    <w:rPr>
      <w:kern w:val="2"/>
      <w:sz w:val="22"/>
    </w:rPr>
  </w:style>
  <w:style w:type="paragraph" w:customStyle="1" w:styleId="119">
    <w:name w:val="默认段落字体 Para Char Char Char Char"/>
    <w:basedOn w:val="1"/>
    <w:qFormat/>
    <w:uiPriority w:val="99"/>
  </w:style>
  <w:style w:type="paragraph" w:customStyle="1" w:styleId="120">
    <w:name w:val="Char Char Char Char Char Char Char Char Char Char Char Char Char"/>
    <w:basedOn w:val="1"/>
    <w:qFormat/>
    <w:uiPriority w:val="99"/>
  </w:style>
  <w:style w:type="paragraph" w:customStyle="1" w:styleId="121">
    <w:name w:val="样式 标题 3 + (中文) 黑体 小四 非加粗 段前: 7.8 磅 段后: 0 磅 行距: 固定值 20 磅"/>
    <w:basedOn w:val="8"/>
    <w:qFormat/>
    <w:uiPriority w:val="99"/>
    <w:pPr>
      <w:spacing w:before="0" w:after="0" w:line="400" w:lineRule="exact"/>
    </w:pPr>
    <w:rPr>
      <w:rFonts w:eastAsia="黑体"/>
      <w:b w:val="0"/>
      <w:bCs w:val="0"/>
      <w:sz w:val="24"/>
      <w:szCs w:val="24"/>
    </w:rPr>
  </w:style>
  <w:style w:type="paragraph" w:customStyle="1" w:styleId="122">
    <w:name w:val="表格文字"/>
    <w:basedOn w:val="1"/>
    <w:qFormat/>
    <w:uiPriority w:val="99"/>
    <w:pPr>
      <w:adjustRightInd w:val="0"/>
      <w:spacing w:line="420" w:lineRule="atLeast"/>
      <w:jc w:val="left"/>
      <w:textAlignment w:val="baseline"/>
    </w:pPr>
    <w:rPr>
      <w:kern w:val="0"/>
    </w:rPr>
  </w:style>
  <w:style w:type="paragraph" w:customStyle="1" w:styleId="123">
    <w:name w:val="修订1"/>
    <w:qFormat/>
    <w:uiPriority w:val="99"/>
    <w:rPr>
      <w:rFonts w:ascii="Times New Roman" w:hAnsi="Times New Roman" w:eastAsia="宋体" w:cs="Times New Roman"/>
      <w:kern w:val="2"/>
      <w:sz w:val="21"/>
      <w:szCs w:val="21"/>
      <w:lang w:val="en-US" w:eastAsia="zh-CN" w:bidi="ar-SA"/>
    </w:rPr>
  </w:style>
  <w:style w:type="paragraph" w:customStyle="1" w:styleId="124">
    <w:name w:val="Char"/>
    <w:basedOn w:val="1"/>
    <w:next w:val="1"/>
    <w:qFormat/>
    <w:uiPriority w:val="99"/>
    <w:pPr>
      <w:widowControl/>
      <w:spacing w:line="360" w:lineRule="auto"/>
      <w:jc w:val="left"/>
    </w:pPr>
    <w:rPr>
      <w:kern w:val="0"/>
      <w:lang w:eastAsia="en-US"/>
    </w:rPr>
  </w:style>
  <w:style w:type="paragraph" w:customStyle="1" w:styleId="125">
    <w:name w:val="样式2"/>
    <w:basedOn w:val="8"/>
    <w:qFormat/>
    <w:uiPriority w:val="99"/>
    <w:pPr>
      <w:spacing w:line="413" w:lineRule="auto"/>
    </w:pPr>
  </w:style>
  <w:style w:type="paragraph" w:customStyle="1" w:styleId="126">
    <w:name w:val="6'"/>
    <w:basedOn w:val="1"/>
    <w:qFormat/>
    <w:uiPriority w:val="99"/>
    <w:pPr>
      <w:autoSpaceDE w:val="0"/>
      <w:autoSpaceDN w:val="0"/>
      <w:adjustRightInd w:val="0"/>
      <w:snapToGrid w:val="0"/>
      <w:spacing w:line="320" w:lineRule="exact"/>
      <w:jc w:val="center"/>
      <w:textAlignment w:val="baseline"/>
    </w:pPr>
    <w:rPr>
      <w:spacing w:val="20"/>
      <w:kern w:val="28"/>
    </w:rPr>
  </w:style>
  <w:style w:type="paragraph" w:customStyle="1" w:styleId="127">
    <w:name w:val="表格"/>
    <w:basedOn w:val="1"/>
    <w:qFormat/>
    <w:uiPriority w:val="99"/>
    <w:pPr>
      <w:jc w:val="center"/>
      <w:textAlignment w:val="center"/>
    </w:pPr>
    <w:rPr>
      <w:rFonts w:ascii="华文细黑" w:hAnsi="华文细黑" w:cs="华文细黑"/>
      <w:kern w:val="0"/>
    </w:rPr>
  </w:style>
  <w:style w:type="paragraph" w:customStyle="1" w:styleId="128">
    <w:name w:val="Blockquote"/>
    <w:basedOn w:val="1"/>
    <w:qFormat/>
    <w:uiPriority w:val="99"/>
    <w:pPr>
      <w:autoSpaceDE w:val="0"/>
      <w:autoSpaceDN w:val="0"/>
      <w:adjustRightInd w:val="0"/>
      <w:spacing w:before="100" w:after="100"/>
      <w:ind w:left="360" w:right="360"/>
      <w:jc w:val="left"/>
    </w:pPr>
    <w:rPr>
      <w:kern w:val="0"/>
      <w:sz w:val="24"/>
      <w:szCs w:val="24"/>
    </w:rPr>
  </w:style>
  <w:style w:type="paragraph" w:customStyle="1" w:styleId="129">
    <w:name w:val="1"/>
    <w:basedOn w:val="1"/>
    <w:next w:val="1"/>
    <w:qFormat/>
    <w:uiPriority w:val="99"/>
  </w:style>
  <w:style w:type="paragraph" w:customStyle="1" w:styleId="130">
    <w:name w:val="样式1"/>
    <w:basedOn w:val="8"/>
    <w:qFormat/>
    <w:uiPriority w:val="99"/>
    <w:pPr>
      <w:spacing w:line="413" w:lineRule="auto"/>
    </w:pPr>
  </w:style>
  <w:style w:type="paragraph" w:customStyle="1" w:styleId="131">
    <w:name w:val="flNote"/>
    <w:basedOn w:val="1"/>
    <w:qFormat/>
    <w:uiPriority w:val="99"/>
    <w:pPr>
      <w:adjustRightInd w:val="0"/>
      <w:spacing w:before="320" w:after="160" w:line="360" w:lineRule="atLeast"/>
      <w:jc w:val="center"/>
      <w:textAlignment w:val="baseline"/>
    </w:pPr>
    <w:rPr>
      <w:rFonts w:ascii="Arial" w:eastAsia="黑体" w:cs="Arial"/>
      <w:kern w:val="0"/>
      <w:sz w:val="30"/>
      <w:szCs w:val="30"/>
    </w:rPr>
  </w:style>
  <w:style w:type="paragraph" w:customStyle="1" w:styleId="132">
    <w:name w:val="无间隔1"/>
    <w:qFormat/>
    <w:uiPriority w:val="99"/>
    <w:pPr>
      <w:widowControl w:val="0"/>
      <w:jc w:val="both"/>
    </w:pPr>
    <w:rPr>
      <w:rFonts w:ascii="Calibri" w:hAnsi="Calibri" w:eastAsia="宋体" w:cs="Calibri"/>
      <w:kern w:val="2"/>
      <w:sz w:val="21"/>
      <w:szCs w:val="21"/>
      <w:lang w:val="en-US" w:eastAsia="zh-CN" w:bidi="ar-SA"/>
    </w:rPr>
  </w:style>
  <w:style w:type="paragraph" w:customStyle="1" w:styleId="133">
    <w:name w:val="样式4"/>
    <w:basedOn w:val="8"/>
    <w:qFormat/>
    <w:uiPriority w:val="99"/>
    <w:pPr>
      <w:spacing w:line="413" w:lineRule="auto"/>
    </w:pPr>
  </w:style>
  <w:style w:type="paragraph" w:customStyle="1" w:styleId="134">
    <w:name w:val="TOC 标题1"/>
    <w:basedOn w:val="6"/>
    <w:next w:val="1"/>
    <w:qFormat/>
    <w:uiPriority w:val="99"/>
    <w:pPr>
      <w:spacing w:line="576" w:lineRule="auto"/>
      <w:outlineLvl w:val="9"/>
    </w:pPr>
    <w:rPr>
      <w:rFonts w:ascii="Calibri" w:hAnsi="Calibri" w:cs="Calibri"/>
    </w:rPr>
  </w:style>
  <w:style w:type="paragraph" w:customStyle="1" w:styleId="135">
    <w:name w:val="样式 标题 1 + 黑体 三号 非加粗 居中 段前: 6 磅 段后: 6 磅 行距: 固定值 20 磅"/>
    <w:basedOn w:val="6"/>
    <w:qFormat/>
    <w:uiPriority w:val="99"/>
    <w:pPr>
      <w:spacing w:before="120" w:after="120" w:line="400" w:lineRule="exact"/>
    </w:pPr>
    <w:rPr>
      <w:rFonts w:ascii="黑体" w:hAnsi="黑体" w:eastAsia="黑体" w:cs="黑体"/>
      <w:b w:val="0"/>
      <w:bCs w:val="0"/>
      <w:sz w:val="32"/>
      <w:szCs w:val="32"/>
    </w:rPr>
  </w:style>
  <w:style w:type="paragraph" w:customStyle="1" w:styleId="136">
    <w:name w:val="样式 标题 2 + Times New Roman 四号 非加粗 段前: 5 磅 段后: 0 磅 行距: 固定值 20..."/>
    <w:basedOn w:val="7"/>
    <w:qFormat/>
    <w:uiPriority w:val="99"/>
    <w:pPr>
      <w:spacing w:before="100" w:after="0" w:line="400" w:lineRule="exact"/>
    </w:pPr>
    <w:rPr>
      <w:rFonts w:ascii="Times New Roman" w:hAnsi="Times New Roman" w:cs="Times New Roman"/>
      <w:b w:val="0"/>
      <w:bCs w:val="0"/>
      <w:kern w:val="0"/>
      <w:sz w:val="28"/>
      <w:szCs w:val="28"/>
    </w:rPr>
  </w:style>
  <w:style w:type="paragraph" w:customStyle="1" w:styleId="137">
    <w:name w:val="Char Char Char Char Char Char Char Char Char Char Char Char Char1"/>
    <w:basedOn w:val="16"/>
    <w:qFormat/>
    <w:uiPriority w:val="99"/>
    <w:rPr>
      <w:rFonts w:ascii="Tahoma" w:hAnsi="Tahoma" w:cs="Tahoma"/>
      <w:sz w:val="24"/>
      <w:szCs w:val="24"/>
      <w:shd w:val="clear" w:color="auto" w:fill="auto"/>
    </w:rPr>
  </w:style>
  <w:style w:type="paragraph" w:customStyle="1" w:styleId="138">
    <w:name w:val="列出段落1"/>
    <w:basedOn w:val="1"/>
    <w:qFormat/>
    <w:uiPriority w:val="99"/>
    <w:pPr>
      <w:ind w:firstLine="420" w:firstLineChars="200"/>
    </w:pPr>
    <w:rPr>
      <w:rFonts w:ascii="Calibri" w:hAnsi="Calibri" w:cs="Calibri"/>
    </w:rPr>
  </w:style>
  <w:style w:type="paragraph" w:customStyle="1" w:styleId="139">
    <w:name w:val="Char1"/>
    <w:basedOn w:val="1"/>
    <w:qFormat/>
    <w:uiPriority w:val="99"/>
    <w:rPr>
      <w:rFonts w:ascii="Tahoma" w:hAnsi="Tahoma" w:cs="Tahoma"/>
      <w:sz w:val="24"/>
      <w:szCs w:val="24"/>
    </w:rPr>
  </w:style>
  <w:style w:type="paragraph" w:customStyle="1" w:styleId="140">
    <w:name w:val="空半行"/>
    <w:basedOn w:val="1"/>
    <w:qFormat/>
    <w:uiPriority w:val="99"/>
    <w:pPr>
      <w:adjustRightInd w:val="0"/>
      <w:spacing w:line="120" w:lineRule="exact"/>
      <w:textAlignment w:val="baseline"/>
    </w:pPr>
    <w:rPr>
      <w:rFonts w:eastAsia="仿宋_GB2312"/>
      <w:color w:val="FFFFFF"/>
      <w:kern w:val="0"/>
      <w:sz w:val="30"/>
      <w:szCs w:val="30"/>
    </w:rPr>
  </w:style>
  <w:style w:type="paragraph" w:customStyle="1" w:styleId="141">
    <w:name w:val="样式3"/>
    <w:basedOn w:val="8"/>
    <w:qFormat/>
    <w:uiPriority w:val="99"/>
    <w:pPr>
      <w:spacing w:line="413" w:lineRule="auto"/>
    </w:pPr>
  </w:style>
  <w:style w:type="paragraph" w:customStyle="1" w:styleId="142">
    <w:name w:val="正文1"/>
    <w:qFormat/>
    <w:uiPriority w:val="99"/>
    <w:pPr>
      <w:widowControl w:val="0"/>
      <w:adjustRightInd w:val="0"/>
      <w:spacing w:line="312" w:lineRule="atLeast"/>
      <w:jc w:val="both"/>
      <w:textAlignment w:val="baseline"/>
    </w:pPr>
    <w:rPr>
      <w:rFonts w:ascii="宋体" w:hAnsi="Times New Roman" w:eastAsia="宋体" w:cs="宋体"/>
      <w:sz w:val="24"/>
      <w:szCs w:val="24"/>
      <w:lang w:val="en-US" w:eastAsia="zh-CN" w:bidi="ar-SA"/>
    </w:rPr>
  </w:style>
  <w:style w:type="paragraph" w:customStyle="1" w:styleId="143">
    <w:name w:val="列出段落2"/>
    <w:basedOn w:val="1"/>
    <w:qFormat/>
    <w:uiPriority w:val="99"/>
    <w:pPr>
      <w:ind w:firstLine="200" w:firstLineChars="200"/>
    </w:pPr>
  </w:style>
  <w:style w:type="paragraph" w:customStyle="1" w:styleId="144">
    <w:name w:val="p0"/>
    <w:basedOn w:val="1"/>
    <w:qFormat/>
    <w:uiPriority w:val="99"/>
    <w:pPr>
      <w:widowControl/>
    </w:pPr>
    <w:rPr>
      <w:kern w:val="0"/>
    </w:rPr>
  </w:style>
  <w:style w:type="paragraph" w:customStyle="1" w:styleId="145">
    <w:name w:val="节标题"/>
    <w:basedOn w:val="1"/>
    <w:next w:val="1"/>
    <w:qFormat/>
    <w:uiPriority w:val="99"/>
    <w:pPr>
      <w:widowControl/>
      <w:spacing w:line="289" w:lineRule="atLeast"/>
      <w:jc w:val="center"/>
      <w:textAlignment w:val="baseline"/>
    </w:pPr>
    <w:rPr>
      <w:color w:val="000000"/>
      <w:kern w:val="0"/>
      <w:sz w:val="28"/>
      <w:szCs w:val="20"/>
    </w:rPr>
  </w:style>
  <w:style w:type="paragraph" w:customStyle="1" w:styleId="146">
    <w:name w:val="WPSOffice手动目录 1"/>
    <w:qFormat/>
    <w:uiPriority w:val="99"/>
    <w:rPr>
      <w:rFonts w:ascii="Times New Roman" w:hAnsi="Times New Roman" w:eastAsia="宋体" w:cs="Times New Roman"/>
      <w:lang w:val="en-US" w:eastAsia="zh-CN" w:bidi="ar-SA"/>
    </w:rPr>
  </w:style>
  <w:style w:type="paragraph" w:customStyle="1" w:styleId="147">
    <w:name w:val="WPSOffice手动目录 2"/>
    <w:qFormat/>
    <w:uiPriority w:val="99"/>
    <w:pPr>
      <w:ind w:left="200" w:leftChars="200"/>
    </w:pPr>
    <w:rPr>
      <w:rFonts w:ascii="Times New Roman" w:hAnsi="Times New Roman" w:eastAsia="宋体" w:cs="Times New Roman"/>
      <w:lang w:val="en-US" w:eastAsia="zh-CN" w:bidi="ar-SA"/>
    </w:rPr>
  </w:style>
  <w:style w:type="paragraph" w:customStyle="1" w:styleId="148">
    <w:name w:val="WPSOffice手动目录 3"/>
    <w:qFormat/>
    <w:uiPriority w:val="99"/>
    <w:pPr>
      <w:ind w:left="400" w:leftChars="400"/>
    </w:pPr>
    <w:rPr>
      <w:rFonts w:ascii="Times New Roman" w:hAnsi="Times New Roman" w:eastAsia="宋体" w:cs="Times New Roman"/>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theme" Target="theme/theme1.xml"/><Relationship Id="rId10" Type="http://schemas.openxmlformats.org/officeDocument/2006/relationships/footer" Target="footer6.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32</Pages>
  <Words>15953</Words>
  <Characters>16743</Characters>
  <Lines>96</Lines>
  <Paragraphs>27</Paragraphs>
  <TotalTime>17</TotalTime>
  <ScaleCrop>false</ScaleCrop>
  <LinksUpToDate>false</LinksUpToDate>
  <CharactersWithSpaces>18308</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2017-05-18T08:09:00Z</dcterms:created>
  <dc:creator>微软用户</dc:creator>
  <cp:lastModifiedBy>Administrator</cp:lastModifiedBy>
  <cp:lastPrinted>2023-03-21T07:56:00Z</cp:lastPrinted>
  <dcterms:modified xsi:type="dcterms:W3CDTF">2023-03-23T06:37:28Z</dcterms:modified>
  <dc:title>创业园小区9#楼工程施工</dc:title>
  <cp:revision>74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6E25285A3B184E899EC165E88259930C</vt:lpwstr>
  </property>
</Properties>
</file>