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A0D3065">
      <w:pPr>
        <w:ind w:right="-315" w:rightChars="-150"/>
        <w:jc w:val="center"/>
        <w:rPr>
          <w:rFonts w:ascii="仿宋" w:hAnsi="仿宋" w:eastAsia="仿宋" w:cs="仿宋"/>
          <w:b/>
          <w:bCs/>
          <w:color w:val="auto"/>
          <w:sz w:val="92"/>
          <w:szCs w:val="92"/>
          <w:highlight w:val="none"/>
          <w:u w:val="single"/>
          <w:vertAlign w:val="subscript"/>
        </w:rPr>
      </w:pPr>
    </w:p>
    <w:p w14:paraId="39327382">
      <w:pPr>
        <w:spacing w:line="400" w:lineRule="atLeast"/>
        <w:jc w:val="center"/>
        <w:rPr>
          <w:rFonts w:hint="eastAsia" w:ascii="宋体" w:hAnsi="宋体" w:eastAsia="宋体" w:cs="宋体"/>
          <w:b/>
          <w:color w:val="auto"/>
          <w:spacing w:val="-10"/>
          <w:sz w:val="52"/>
          <w:szCs w:val="52"/>
          <w:highlight w:val="none"/>
        </w:rPr>
      </w:pPr>
      <w:r>
        <w:rPr>
          <w:rFonts w:hint="eastAsia" w:ascii="宋体" w:hAnsi="宋体" w:cs="宋体"/>
          <w:b/>
          <w:color w:val="auto"/>
          <w:spacing w:val="-10"/>
          <w:sz w:val="52"/>
          <w:szCs w:val="52"/>
          <w:highlight w:val="none"/>
          <w:lang w:val="en-US" w:eastAsia="zh-CN"/>
        </w:rPr>
        <w:t>工投高新科技园项目14号厂房电力工程</w:t>
      </w:r>
      <w:r>
        <w:rPr>
          <w:rFonts w:hint="eastAsia" w:ascii="宋体" w:hAnsi="宋体" w:eastAsia="宋体" w:cs="宋体"/>
          <w:b/>
          <w:color w:val="auto"/>
          <w:spacing w:val="-10"/>
          <w:sz w:val="52"/>
          <w:szCs w:val="52"/>
          <w:highlight w:val="none"/>
          <w:lang w:val="en-US" w:eastAsia="zh-CN"/>
        </w:rPr>
        <w:t xml:space="preserve"> </w:t>
      </w:r>
      <w:bookmarkStart w:id="183" w:name="_GoBack"/>
      <w:bookmarkEnd w:id="183"/>
    </w:p>
    <w:p w14:paraId="3D25F2EF">
      <w:pPr>
        <w:spacing w:line="400" w:lineRule="atLeast"/>
        <w:jc w:val="center"/>
        <w:rPr>
          <w:rFonts w:hint="eastAsia" w:ascii="宋体" w:hAnsi="宋体" w:eastAsia="宋体" w:cs="宋体"/>
          <w:b/>
          <w:color w:val="auto"/>
          <w:spacing w:val="-10"/>
          <w:sz w:val="52"/>
          <w:szCs w:val="52"/>
        </w:rPr>
      </w:pPr>
    </w:p>
    <w:p w14:paraId="340C8F43">
      <w:pPr>
        <w:spacing w:line="400" w:lineRule="atLeast"/>
        <w:jc w:val="center"/>
        <w:rPr>
          <w:rFonts w:hint="eastAsia" w:ascii="宋体" w:hAnsi="宋体" w:eastAsia="宋体" w:cs="宋体"/>
          <w:b/>
          <w:color w:val="auto"/>
          <w:spacing w:val="-10"/>
          <w:sz w:val="52"/>
          <w:szCs w:val="52"/>
        </w:rPr>
      </w:pPr>
    </w:p>
    <w:p w14:paraId="3A555F97">
      <w:pPr>
        <w:spacing w:line="400" w:lineRule="atLeast"/>
        <w:jc w:val="center"/>
        <w:rPr>
          <w:rFonts w:hint="eastAsia" w:ascii="宋体" w:hAnsi="宋体" w:eastAsia="宋体" w:cs="宋体"/>
          <w:b/>
          <w:color w:val="auto"/>
          <w:spacing w:val="-10"/>
          <w:sz w:val="52"/>
          <w:szCs w:val="52"/>
        </w:rPr>
      </w:pPr>
    </w:p>
    <w:p w14:paraId="793FBCB7">
      <w:pPr>
        <w:spacing w:line="400" w:lineRule="atLeast"/>
        <w:jc w:val="center"/>
        <w:rPr>
          <w:rFonts w:hint="eastAsia" w:ascii="宋体" w:hAnsi="宋体" w:eastAsia="宋体" w:cs="宋体"/>
          <w:b/>
          <w:bCs/>
          <w:color w:val="auto"/>
          <w:sz w:val="98"/>
        </w:rPr>
      </w:pPr>
      <w:r>
        <w:rPr>
          <w:rFonts w:hint="eastAsia" w:ascii="宋体" w:hAnsi="宋体" w:eastAsia="宋体" w:cs="宋体"/>
          <w:b/>
          <w:bCs/>
          <w:color w:val="auto"/>
          <w:sz w:val="98"/>
          <w:lang w:eastAsia="zh-CN"/>
        </w:rPr>
        <w:t>招</w:t>
      </w:r>
      <w:r>
        <w:rPr>
          <w:rFonts w:hint="eastAsia" w:ascii="宋体" w:hAnsi="宋体" w:eastAsia="宋体" w:cs="宋体"/>
          <w:b/>
          <w:bCs/>
          <w:color w:val="auto"/>
          <w:sz w:val="98"/>
          <w:lang w:val="en-US" w:eastAsia="zh-CN"/>
        </w:rPr>
        <w:t xml:space="preserve"> </w:t>
      </w:r>
      <w:r>
        <w:rPr>
          <w:rFonts w:hint="eastAsia" w:ascii="宋体" w:hAnsi="宋体" w:eastAsia="宋体" w:cs="宋体"/>
          <w:b/>
          <w:bCs/>
          <w:color w:val="auto"/>
          <w:sz w:val="98"/>
          <w:lang w:eastAsia="zh-CN"/>
        </w:rPr>
        <w:t>标</w:t>
      </w:r>
      <w:r>
        <w:rPr>
          <w:rFonts w:hint="eastAsia" w:ascii="宋体" w:hAnsi="宋体" w:eastAsia="宋体" w:cs="宋体"/>
          <w:b/>
          <w:bCs/>
          <w:color w:val="auto"/>
          <w:sz w:val="98"/>
        </w:rPr>
        <w:t xml:space="preserve"> 文 件</w:t>
      </w:r>
    </w:p>
    <w:p w14:paraId="11101DE5">
      <w:pPr>
        <w:spacing w:line="400" w:lineRule="atLeast"/>
        <w:ind w:firstLine="3694" w:firstLineChars="1150"/>
        <w:rPr>
          <w:rFonts w:hint="default" w:ascii="宋体" w:hAnsi="宋体" w:eastAsia="宋体" w:cs="宋体"/>
          <w:b/>
          <w:color w:val="auto"/>
          <w:sz w:val="32"/>
          <w:lang w:val="en-US" w:eastAsia="zh-CN"/>
        </w:rPr>
      </w:pPr>
      <w:r>
        <w:rPr>
          <w:rFonts w:hint="eastAsia" w:ascii="宋体" w:hAnsi="宋体" w:eastAsia="宋体" w:cs="宋体"/>
          <w:b/>
          <w:color w:val="auto"/>
          <w:sz w:val="32"/>
        </w:rPr>
        <w:t xml:space="preserve"> </w:t>
      </w:r>
      <w:r>
        <w:rPr>
          <w:rFonts w:hint="eastAsia" w:ascii="宋体" w:hAnsi="宋体" w:eastAsia="宋体" w:cs="宋体"/>
          <w:b/>
          <w:color w:val="auto"/>
          <w:sz w:val="32"/>
          <w:lang w:eastAsia="zh-CN"/>
        </w:rPr>
        <w:t>（</w:t>
      </w:r>
      <w:r>
        <w:rPr>
          <w:rFonts w:hint="eastAsia" w:ascii="宋体" w:hAnsi="宋体" w:eastAsia="宋体" w:cs="宋体"/>
          <w:b/>
          <w:color w:val="auto"/>
          <w:sz w:val="32"/>
          <w:lang w:val="en-US" w:eastAsia="zh-CN"/>
        </w:rPr>
        <w:t>公开招标）</w:t>
      </w:r>
    </w:p>
    <w:p w14:paraId="2CC6DB1D">
      <w:pPr>
        <w:spacing w:line="480" w:lineRule="exact"/>
        <w:rPr>
          <w:rFonts w:hint="eastAsia" w:ascii="宋体" w:hAnsi="宋体" w:eastAsia="宋体" w:cs="宋体"/>
          <w:b/>
          <w:bCs/>
          <w:color w:val="auto"/>
          <w:sz w:val="44"/>
        </w:rPr>
      </w:pPr>
    </w:p>
    <w:p w14:paraId="4DF7EE22">
      <w:pPr>
        <w:spacing w:line="480" w:lineRule="exact"/>
        <w:ind w:firstLine="643" w:firstLineChars="200"/>
        <w:jc w:val="center"/>
        <w:rPr>
          <w:rFonts w:hint="eastAsia" w:ascii="宋体" w:hAnsi="宋体" w:eastAsia="宋体" w:cs="宋体"/>
          <w:b/>
          <w:bCs/>
          <w:color w:val="auto"/>
          <w:sz w:val="32"/>
        </w:rPr>
      </w:pPr>
    </w:p>
    <w:p w14:paraId="7D077592">
      <w:pPr>
        <w:spacing w:line="480" w:lineRule="exact"/>
        <w:ind w:firstLine="472" w:firstLineChars="147"/>
        <w:rPr>
          <w:rFonts w:hint="eastAsia" w:ascii="宋体" w:hAnsi="宋体" w:eastAsia="宋体" w:cs="宋体"/>
          <w:b/>
          <w:bCs/>
          <w:color w:val="auto"/>
          <w:sz w:val="32"/>
        </w:rPr>
      </w:pPr>
    </w:p>
    <w:p w14:paraId="7EB1F684">
      <w:pPr>
        <w:spacing w:line="480" w:lineRule="exact"/>
        <w:ind w:firstLine="472" w:firstLineChars="147"/>
        <w:rPr>
          <w:rFonts w:hint="eastAsia" w:ascii="宋体" w:hAnsi="宋体" w:eastAsia="宋体" w:cs="宋体"/>
          <w:b/>
          <w:bCs/>
          <w:color w:val="auto"/>
          <w:sz w:val="32"/>
        </w:rPr>
      </w:pPr>
    </w:p>
    <w:p w14:paraId="191C9979">
      <w:pPr>
        <w:spacing w:line="480" w:lineRule="exact"/>
        <w:ind w:firstLine="472" w:firstLineChars="147"/>
        <w:rPr>
          <w:rFonts w:hint="eastAsia" w:ascii="宋体" w:hAnsi="宋体" w:eastAsia="宋体" w:cs="宋体"/>
          <w:b/>
          <w:bCs/>
          <w:color w:val="auto"/>
          <w:sz w:val="32"/>
        </w:rPr>
      </w:pPr>
    </w:p>
    <w:p w14:paraId="31BA6E05">
      <w:pPr>
        <w:adjustRightInd w:val="0"/>
        <w:snapToGrid w:val="0"/>
        <w:ind w:firstLine="358" w:firstLineChars="94"/>
        <w:rPr>
          <w:rFonts w:hint="eastAsia" w:ascii="宋体" w:hAnsi="宋体" w:eastAsia="宋体" w:cs="宋体"/>
          <w:b/>
          <w:color w:val="auto"/>
          <w:sz w:val="32"/>
          <w:u w:val="thick"/>
          <w:lang w:val="en-US" w:eastAsia="zh-CN"/>
        </w:rPr>
      </w:pPr>
      <w:r>
        <w:rPr>
          <w:rFonts w:hint="eastAsia" w:ascii="宋体" w:hAnsi="宋体" w:eastAsia="宋体" w:cs="宋体"/>
          <w:b/>
          <w:color w:val="auto"/>
          <w:spacing w:val="30"/>
          <w:sz w:val="32"/>
          <w:szCs w:val="32"/>
          <w:highlight w:val="none"/>
        </w:rPr>
        <w:t>招  标  人:</w:t>
      </w:r>
      <w:r>
        <w:rPr>
          <w:rFonts w:hint="eastAsia" w:ascii="宋体" w:hAnsi="宋体" w:eastAsia="宋体" w:cs="宋体"/>
          <w:color w:val="auto"/>
          <w:sz w:val="32"/>
          <w:highlight w:val="none"/>
          <w:u w:val="thick"/>
        </w:rPr>
        <w:t xml:space="preserve"> </w:t>
      </w:r>
      <w:r>
        <w:rPr>
          <w:rFonts w:hint="eastAsia" w:ascii="宋体" w:hAnsi="宋体" w:eastAsia="宋体" w:cs="宋体"/>
          <w:b/>
          <w:color w:val="auto"/>
          <w:sz w:val="32"/>
          <w:u w:val="thick"/>
        </w:rPr>
        <w:t xml:space="preserve"> </w:t>
      </w:r>
      <w:r>
        <w:rPr>
          <w:rFonts w:hint="eastAsia" w:ascii="宋体" w:hAnsi="宋体" w:cs="宋体"/>
          <w:b/>
          <w:color w:val="auto"/>
          <w:sz w:val="32"/>
          <w:u w:val="thick"/>
          <w:lang w:val="en-US" w:eastAsia="zh-CN"/>
        </w:rPr>
        <w:t xml:space="preserve">   滁州工投高新科技园有限公司   </w:t>
      </w:r>
      <w:r>
        <w:rPr>
          <w:rFonts w:hint="eastAsia" w:ascii="宋体" w:hAnsi="宋体" w:eastAsia="宋体" w:cs="宋体"/>
          <w:b/>
          <w:color w:val="auto"/>
          <w:sz w:val="32"/>
          <w:u w:val="thick"/>
          <w:lang w:eastAsia="zh-CN"/>
        </w:rPr>
        <w:t>（盖章）</w:t>
      </w:r>
    </w:p>
    <w:p w14:paraId="32B920EA">
      <w:pPr>
        <w:adjustRightInd w:val="0"/>
        <w:snapToGrid w:val="0"/>
        <w:ind w:firstLine="723" w:firstLineChars="200"/>
        <w:rPr>
          <w:rFonts w:hint="eastAsia" w:ascii="宋体" w:hAnsi="宋体" w:eastAsia="宋体" w:cs="宋体"/>
          <w:b/>
          <w:color w:val="auto"/>
          <w:spacing w:val="20"/>
          <w:sz w:val="32"/>
          <w:u w:val="single"/>
        </w:rPr>
      </w:pPr>
    </w:p>
    <w:p w14:paraId="7802E41D">
      <w:pPr>
        <w:adjustRightInd w:val="0"/>
        <w:snapToGrid w:val="0"/>
        <w:rPr>
          <w:rFonts w:hint="eastAsia" w:ascii="宋体" w:hAnsi="宋体" w:eastAsia="宋体" w:cs="宋体"/>
          <w:b/>
          <w:color w:val="auto"/>
          <w:spacing w:val="20"/>
          <w:sz w:val="32"/>
        </w:rPr>
      </w:pPr>
    </w:p>
    <w:p w14:paraId="29DB1655">
      <w:pPr>
        <w:adjustRightInd w:val="0"/>
        <w:snapToGrid w:val="0"/>
        <w:spacing w:line="460" w:lineRule="exact"/>
        <w:ind w:firstLine="315" w:firstLineChars="98"/>
        <w:rPr>
          <w:rFonts w:hint="eastAsia" w:ascii="宋体" w:hAnsi="宋体" w:eastAsia="宋体" w:cs="宋体"/>
          <w:b/>
          <w:color w:val="auto"/>
          <w:sz w:val="32"/>
          <w:u w:val="thick"/>
          <w:lang w:val="en-US" w:eastAsia="zh-CN"/>
        </w:rPr>
      </w:pPr>
      <w:r>
        <w:rPr>
          <w:rFonts w:hint="eastAsia" w:ascii="宋体" w:hAnsi="宋体" w:eastAsia="宋体" w:cs="宋体"/>
          <w:b/>
          <w:color w:val="auto"/>
          <w:spacing w:val="0"/>
          <w:sz w:val="32"/>
        </w:rPr>
        <w:t>招标代理机构:</w:t>
      </w:r>
      <w:r>
        <w:rPr>
          <w:rFonts w:hint="eastAsia" w:ascii="宋体" w:hAnsi="宋体" w:eastAsia="宋体" w:cs="宋体"/>
          <w:b/>
          <w:color w:val="auto"/>
          <w:sz w:val="32"/>
          <w:u w:val="thick"/>
          <w:lang w:val="en-US" w:eastAsia="zh-CN"/>
        </w:rPr>
        <w:t xml:space="preserve">    滁州市城投工程咨询管理有限公司 （盖章）</w:t>
      </w:r>
    </w:p>
    <w:p w14:paraId="7EE11B5C">
      <w:pPr>
        <w:adjustRightInd w:val="0"/>
        <w:snapToGrid w:val="0"/>
        <w:spacing w:line="460" w:lineRule="exact"/>
        <w:ind w:firstLine="315" w:firstLineChars="98"/>
        <w:rPr>
          <w:rFonts w:hint="eastAsia" w:ascii="宋体" w:hAnsi="宋体" w:eastAsia="宋体" w:cs="宋体"/>
          <w:b/>
          <w:color w:val="auto"/>
          <w:sz w:val="32"/>
          <w:u w:val="thick"/>
          <w:lang w:val="en-US" w:eastAsia="zh-CN"/>
        </w:rPr>
      </w:pPr>
    </w:p>
    <w:p w14:paraId="50D88E74">
      <w:pPr>
        <w:adjustRightInd w:val="0"/>
        <w:snapToGrid w:val="0"/>
        <w:ind w:firstLine="900" w:firstLineChars="250"/>
        <w:rPr>
          <w:rFonts w:hint="eastAsia" w:ascii="宋体" w:hAnsi="宋体" w:eastAsia="宋体" w:cs="宋体"/>
          <w:color w:val="auto"/>
          <w:spacing w:val="20"/>
          <w:sz w:val="32"/>
          <w:u w:val="single"/>
        </w:rPr>
      </w:pPr>
    </w:p>
    <w:p w14:paraId="2D41B98B">
      <w:pPr>
        <w:adjustRightInd w:val="0"/>
        <w:snapToGrid w:val="0"/>
        <w:spacing w:line="460" w:lineRule="exact"/>
        <w:ind w:firstLine="354" w:firstLineChars="98"/>
        <w:rPr>
          <w:rFonts w:hint="eastAsia" w:ascii="宋体" w:hAnsi="宋体" w:eastAsia="宋体" w:cs="宋体"/>
          <w:b/>
          <w:color w:val="auto"/>
          <w:spacing w:val="20"/>
          <w:sz w:val="32"/>
          <w:szCs w:val="32"/>
        </w:rPr>
      </w:pPr>
      <w:r>
        <w:rPr>
          <w:rFonts w:hint="eastAsia" w:ascii="宋体" w:hAnsi="宋体" w:eastAsia="宋体" w:cs="宋体"/>
          <w:b/>
          <w:color w:val="auto"/>
          <w:spacing w:val="20"/>
          <w:sz w:val="32"/>
        </w:rPr>
        <w:t>发 布 日 期:</w:t>
      </w:r>
      <w:r>
        <w:rPr>
          <w:rFonts w:hint="eastAsia" w:ascii="宋体" w:hAnsi="宋体" w:eastAsia="宋体" w:cs="宋体"/>
          <w:b/>
          <w:color w:val="auto"/>
          <w:sz w:val="32"/>
          <w:u w:val="thick"/>
        </w:rPr>
        <w:t xml:space="preserve">         </w:t>
      </w:r>
      <w:r>
        <w:rPr>
          <w:rFonts w:hint="eastAsia" w:ascii="宋体" w:hAnsi="宋体" w:cs="宋体"/>
          <w:b/>
          <w:color w:val="auto"/>
          <w:sz w:val="32"/>
          <w:u w:val="thick"/>
          <w:lang w:val="en-US" w:eastAsia="zh-CN"/>
        </w:rPr>
        <w:t xml:space="preserve">2025年2月26日 </w:t>
      </w:r>
      <w:r>
        <w:rPr>
          <w:rFonts w:hint="eastAsia" w:ascii="宋体" w:hAnsi="宋体" w:cs="宋体"/>
          <w:b/>
          <w:color w:val="auto"/>
          <w:sz w:val="32"/>
          <w:u w:val="none"/>
          <w:lang w:val="en-US" w:eastAsia="zh-CN"/>
        </w:rPr>
        <w:t xml:space="preserve">    </w:t>
      </w:r>
      <w:r>
        <w:rPr>
          <w:rFonts w:hint="eastAsia" w:ascii="宋体" w:hAnsi="宋体" w:eastAsia="宋体" w:cs="宋体"/>
          <w:b/>
          <w:color w:val="auto"/>
          <w:sz w:val="32"/>
          <w:u w:val="none"/>
        </w:rPr>
        <w:t xml:space="preserve">      </w:t>
      </w:r>
      <w:r>
        <w:rPr>
          <w:rFonts w:hint="eastAsia" w:ascii="宋体" w:hAnsi="宋体" w:eastAsia="宋体" w:cs="宋体"/>
          <w:b/>
          <w:color w:val="auto"/>
          <w:sz w:val="32"/>
          <w:u w:val="thick"/>
        </w:rPr>
        <w:t xml:space="preserve">               </w:t>
      </w:r>
    </w:p>
    <w:p w14:paraId="2AB91967">
      <w:pPr>
        <w:adjustRightInd w:val="0"/>
        <w:snapToGrid w:val="0"/>
        <w:spacing w:line="460" w:lineRule="exact"/>
        <w:rPr>
          <w:rFonts w:hint="eastAsia" w:ascii="宋体" w:hAnsi="宋体" w:eastAsia="宋体" w:cs="宋体"/>
          <w:b/>
          <w:color w:val="auto"/>
          <w:spacing w:val="20"/>
          <w:sz w:val="32"/>
          <w:szCs w:val="32"/>
        </w:rPr>
      </w:pPr>
    </w:p>
    <w:p w14:paraId="46D906D8">
      <w:pPr>
        <w:jc w:val="center"/>
        <w:rPr>
          <w:rFonts w:hint="eastAsia" w:ascii="仿宋" w:hAnsi="仿宋" w:eastAsia="仿宋" w:cs="仿宋"/>
          <w:b/>
          <w:bCs/>
          <w:color w:val="auto"/>
          <w:sz w:val="28"/>
          <w:szCs w:val="28"/>
          <w:highlight w:val="none"/>
        </w:rPr>
      </w:pPr>
    </w:p>
    <w:p w14:paraId="455C82ED">
      <w:pPr>
        <w:jc w:val="center"/>
        <w:rPr>
          <w:rFonts w:hint="eastAsia" w:ascii="仿宋" w:hAnsi="仿宋" w:eastAsia="仿宋" w:cs="仿宋"/>
          <w:b/>
          <w:bCs/>
          <w:color w:val="auto"/>
          <w:sz w:val="28"/>
          <w:szCs w:val="28"/>
          <w:highlight w:val="none"/>
        </w:rPr>
      </w:pPr>
    </w:p>
    <w:p w14:paraId="713867EA">
      <w:pPr>
        <w:jc w:val="center"/>
        <w:rPr>
          <w:rFonts w:hint="eastAsia" w:ascii="仿宋" w:hAnsi="仿宋" w:eastAsia="仿宋" w:cs="仿宋"/>
          <w:b/>
          <w:bCs/>
          <w:color w:val="auto"/>
          <w:sz w:val="28"/>
          <w:szCs w:val="28"/>
          <w:highlight w:val="none"/>
        </w:rPr>
      </w:pPr>
    </w:p>
    <w:p w14:paraId="35094F88">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目</w:t>
      </w:r>
      <w:r>
        <w:rPr>
          <w:rFonts w:ascii="仿宋" w:hAnsi="仿宋" w:eastAsia="仿宋" w:cs="仿宋"/>
          <w:b/>
          <w:bCs/>
          <w:color w:val="auto"/>
          <w:sz w:val="32"/>
          <w:szCs w:val="32"/>
          <w:highlight w:val="none"/>
        </w:rPr>
        <w:t xml:space="preserve">  </w:t>
      </w:r>
      <w:r>
        <w:rPr>
          <w:rFonts w:hint="eastAsia" w:ascii="仿宋" w:hAnsi="仿宋" w:eastAsia="仿宋" w:cs="仿宋"/>
          <w:b/>
          <w:bCs/>
          <w:color w:val="auto"/>
          <w:sz w:val="32"/>
          <w:szCs w:val="32"/>
          <w:highlight w:val="none"/>
        </w:rPr>
        <w:t>录</w:t>
      </w:r>
    </w:p>
    <w:p w14:paraId="38B6EE70">
      <w:pPr>
        <w:pStyle w:val="33"/>
        <w:tabs>
          <w:tab w:val="right" w:leader="dot" w:pos="9541"/>
          <w:tab w:val="clear" w:pos="829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TOC \o "1-1" \h \u </w:instrText>
      </w:r>
      <w:r>
        <w:rPr>
          <w:rFonts w:hint="eastAsia" w:ascii="宋体" w:hAnsi="宋体" w:eastAsia="宋体" w:cs="宋体"/>
          <w:sz w:val="28"/>
          <w:szCs w:val="28"/>
        </w:rPr>
        <w:fldChar w:fldCharType="separate"/>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_Toc31751 </w:instrText>
      </w:r>
      <w:r>
        <w:rPr>
          <w:rFonts w:hint="eastAsia" w:ascii="宋体" w:hAnsi="宋体" w:eastAsia="宋体" w:cs="宋体"/>
          <w:sz w:val="28"/>
          <w:szCs w:val="28"/>
        </w:rPr>
        <w:fldChar w:fldCharType="separate"/>
      </w:r>
      <w:r>
        <w:rPr>
          <w:rFonts w:hint="eastAsia" w:ascii="宋体" w:hAnsi="宋体" w:eastAsia="宋体" w:cs="宋体"/>
          <w:bCs/>
          <w:sz w:val="28"/>
          <w:szCs w:val="28"/>
          <w:highlight w:val="none"/>
        </w:rPr>
        <w:t>招标公告</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_Toc31751 \h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1556CB8C">
      <w:pPr>
        <w:pStyle w:val="33"/>
        <w:tabs>
          <w:tab w:val="right" w:leader="dot" w:pos="9541"/>
          <w:tab w:val="clear" w:pos="829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_Toc29248 </w:instrText>
      </w:r>
      <w:r>
        <w:rPr>
          <w:rFonts w:hint="eastAsia" w:ascii="宋体" w:hAnsi="宋体" w:eastAsia="宋体" w:cs="宋体"/>
          <w:sz w:val="28"/>
          <w:szCs w:val="28"/>
        </w:rPr>
        <w:fldChar w:fldCharType="separate"/>
      </w:r>
      <w:r>
        <w:rPr>
          <w:rFonts w:hint="eastAsia" w:ascii="宋体" w:hAnsi="宋体" w:eastAsia="宋体" w:cs="宋体"/>
          <w:sz w:val="28"/>
          <w:szCs w:val="28"/>
          <w:highlight w:val="none"/>
        </w:rPr>
        <w:t>第</w:t>
      </w:r>
      <w:r>
        <w:rPr>
          <w:rFonts w:hint="eastAsia" w:ascii="宋体" w:hAnsi="宋体" w:eastAsia="宋体" w:cs="宋体"/>
          <w:sz w:val="28"/>
          <w:szCs w:val="28"/>
          <w:highlight w:val="none"/>
          <w:lang w:val="en-US" w:eastAsia="zh-CN"/>
        </w:rPr>
        <w:t>一</w:t>
      </w:r>
      <w:r>
        <w:rPr>
          <w:rFonts w:hint="eastAsia" w:ascii="宋体" w:hAnsi="宋体" w:eastAsia="宋体" w:cs="宋体"/>
          <w:sz w:val="28"/>
          <w:szCs w:val="28"/>
          <w:highlight w:val="none"/>
        </w:rPr>
        <w:t>章投标须知</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_Toc29248 \h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0134C966">
      <w:pPr>
        <w:pStyle w:val="33"/>
        <w:tabs>
          <w:tab w:val="right" w:leader="dot" w:pos="9541"/>
          <w:tab w:val="clear" w:pos="829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_Toc11130 </w:instrText>
      </w:r>
      <w:r>
        <w:rPr>
          <w:rFonts w:hint="eastAsia" w:ascii="宋体" w:hAnsi="宋体" w:eastAsia="宋体" w:cs="宋体"/>
          <w:sz w:val="28"/>
          <w:szCs w:val="28"/>
        </w:rPr>
        <w:fldChar w:fldCharType="separate"/>
      </w:r>
      <w:r>
        <w:rPr>
          <w:rFonts w:hint="eastAsia" w:ascii="宋体" w:hAnsi="宋体" w:eastAsia="宋体" w:cs="宋体"/>
          <w:bCs/>
          <w:sz w:val="28"/>
          <w:szCs w:val="28"/>
        </w:rPr>
        <w:t xml:space="preserve">第二章 </w:t>
      </w:r>
      <w:r>
        <w:rPr>
          <w:rFonts w:hint="eastAsia" w:ascii="宋体" w:hAnsi="宋体" w:eastAsia="宋体" w:cs="宋体"/>
          <w:bCs/>
          <w:sz w:val="28"/>
          <w:szCs w:val="28"/>
          <w:lang w:val="en-US" w:eastAsia="zh-CN"/>
        </w:rPr>
        <w:t xml:space="preserve"> </w:t>
      </w:r>
      <w:r>
        <w:rPr>
          <w:rFonts w:hint="eastAsia" w:ascii="宋体" w:hAnsi="宋体" w:eastAsia="宋体" w:cs="宋体"/>
          <w:bCs/>
          <w:sz w:val="28"/>
          <w:szCs w:val="28"/>
        </w:rPr>
        <w:t>资格审查办法</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_Toc11130 \h </w:instrText>
      </w:r>
      <w:r>
        <w:rPr>
          <w:rFonts w:hint="eastAsia" w:ascii="宋体" w:hAnsi="宋体" w:eastAsia="宋体" w:cs="宋体"/>
          <w:sz w:val="28"/>
          <w:szCs w:val="28"/>
        </w:rPr>
        <w:fldChar w:fldCharType="separate"/>
      </w:r>
      <w:r>
        <w:rPr>
          <w:rFonts w:hint="eastAsia" w:ascii="宋体" w:hAnsi="宋体" w:eastAsia="宋体" w:cs="宋体"/>
          <w:sz w:val="28"/>
          <w:szCs w:val="28"/>
        </w:rPr>
        <w:t>14</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18C8FD2D">
      <w:pPr>
        <w:pStyle w:val="33"/>
        <w:tabs>
          <w:tab w:val="right" w:leader="dot" w:pos="9541"/>
          <w:tab w:val="clear" w:pos="829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_Toc32139 </w:instrText>
      </w:r>
      <w:r>
        <w:rPr>
          <w:rFonts w:hint="eastAsia" w:ascii="宋体" w:hAnsi="宋体" w:eastAsia="宋体" w:cs="宋体"/>
          <w:sz w:val="28"/>
          <w:szCs w:val="28"/>
        </w:rPr>
        <w:fldChar w:fldCharType="separate"/>
      </w:r>
      <w:r>
        <w:rPr>
          <w:rFonts w:hint="eastAsia" w:ascii="宋体" w:hAnsi="宋体" w:eastAsia="宋体" w:cs="宋体"/>
          <w:sz w:val="28"/>
          <w:szCs w:val="28"/>
          <w:highlight w:val="none"/>
          <w:lang w:val="en-US" w:eastAsia="zh-CN"/>
        </w:rPr>
        <w:t>第三章  评标办法</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_Toc32139 \h </w:instrText>
      </w:r>
      <w:r>
        <w:rPr>
          <w:rFonts w:hint="eastAsia" w:ascii="宋体" w:hAnsi="宋体" w:eastAsia="宋体" w:cs="宋体"/>
          <w:sz w:val="28"/>
          <w:szCs w:val="28"/>
        </w:rPr>
        <w:fldChar w:fldCharType="separate"/>
      </w:r>
      <w:r>
        <w:rPr>
          <w:rFonts w:hint="eastAsia" w:ascii="宋体" w:hAnsi="宋体" w:eastAsia="宋体" w:cs="宋体"/>
          <w:sz w:val="28"/>
          <w:szCs w:val="28"/>
        </w:rPr>
        <w:t>16</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42CBB5A7">
      <w:pPr>
        <w:pStyle w:val="33"/>
        <w:tabs>
          <w:tab w:val="right" w:leader="dot" w:pos="9541"/>
          <w:tab w:val="clear" w:pos="8296"/>
        </w:tabs>
        <w:rPr>
          <w:rFonts w:hint="eastAsia" w:ascii="宋体" w:hAnsi="宋体" w:eastAsia="宋体" w:cs="宋体"/>
          <w:sz w:val="28"/>
          <w:szCs w:val="28"/>
          <w:lang w:val="en-US" w:eastAsia="zh-CN"/>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_Toc22987 </w:instrText>
      </w:r>
      <w:r>
        <w:rPr>
          <w:rFonts w:hint="eastAsia" w:ascii="宋体" w:hAnsi="宋体" w:eastAsia="宋体" w:cs="宋体"/>
          <w:sz w:val="28"/>
          <w:szCs w:val="28"/>
        </w:rPr>
        <w:fldChar w:fldCharType="separate"/>
      </w:r>
      <w:r>
        <w:rPr>
          <w:rFonts w:hint="eastAsia" w:ascii="宋体" w:hAnsi="宋体" w:eastAsia="宋体" w:cs="宋体"/>
          <w:sz w:val="28"/>
          <w:szCs w:val="28"/>
          <w:highlight w:val="none"/>
          <w:lang w:val="en-US" w:eastAsia="zh-CN"/>
        </w:rPr>
        <w:t>第</w:t>
      </w:r>
      <w:r>
        <w:rPr>
          <w:rFonts w:hint="eastAsia" w:hAnsi="宋体" w:eastAsia="宋体" w:cs="宋体"/>
          <w:sz w:val="28"/>
          <w:szCs w:val="28"/>
          <w:highlight w:val="none"/>
          <w:lang w:val="en-US" w:eastAsia="zh-CN"/>
        </w:rPr>
        <w:t>四</w:t>
      </w:r>
      <w:r>
        <w:rPr>
          <w:rFonts w:hint="eastAsia" w:ascii="宋体" w:hAnsi="宋体" w:eastAsia="宋体" w:cs="宋体"/>
          <w:sz w:val="28"/>
          <w:szCs w:val="28"/>
          <w:highlight w:val="none"/>
          <w:lang w:val="en-US" w:eastAsia="zh-CN"/>
        </w:rPr>
        <w:t>章</w:t>
      </w:r>
      <w:r>
        <w:rPr>
          <w:rFonts w:hint="eastAsia" w:hAnsi="宋体" w:eastAsia="宋体" w:cs="宋体"/>
          <w:sz w:val="28"/>
          <w:szCs w:val="28"/>
          <w:highlight w:val="none"/>
          <w:lang w:val="en-US" w:eastAsia="zh-CN"/>
        </w:rPr>
        <w:t>工程量清单</w:t>
      </w:r>
      <w:r>
        <w:rPr>
          <w:rFonts w:hint="eastAsia" w:ascii="宋体" w:hAnsi="宋体" w:eastAsia="宋体" w:cs="宋体"/>
          <w:sz w:val="28"/>
          <w:szCs w:val="28"/>
        </w:rPr>
        <w:tab/>
      </w:r>
      <w:r>
        <w:rPr>
          <w:rFonts w:hint="eastAsia" w:hAnsi="宋体" w:eastAsia="宋体" w:cs="宋体"/>
          <w:sz w:val="28"/>
          <w:szCs w:val="28"/>
          <w:lang w:val="en-US" w:eastAsia="zh-CN"/>
        </w:rPr>
        <w:t>1</w:t>
      </w:r>
      <w:r>
        <w:rPr>
          <w:rFonts w:hint="eastAsia" w:ascii="宋体" w:hAnsi="宋体" w:eastAsia="宋体" w:cs="宋体"/>
          <w:sz w:val="28"/>
          <w:szCs w:val="28"/>
        </w:rPr>
        <w:fldChar w:fldCharType="end"/>
      </w:r>
      <w:r>
        <w:rPr>
          <w:rFonts w:hint="eastAsia" w:hAnsi="宋体" w:eastAsia="宋体" w:cs="宋体"/>
          <w:sz w:val="28"/>
          <w:szCs w:val="28"/>
          <w:lang w:val="en-US" w:eastAsia="zh-CN"/>
        </w:rPr>
        <w:t>7</w:t>
      </w:r>
    </w:p>
    <w:p w14:paraId="2F993C4D">
      <w:pPr>
        <w:pStyle w:val="33"/>
        <w:tabs>
          <w:tab w:val="right" w:leader="dot" w:pos="9541"/>
          <w:tab w:val="clear" w:pos="8296"/>
        </w:tabs>
        <w:rPr>
          <w:rFonts w:hint="eastAsia" w:ascii="宋体" w:hAnsi="宋体" w:eastAsia="宋体" w:cs="宋体"/>
          <w:sz w:val="28"/>
          <w:szCs w:val="28"/>
          <w:lang w:val="en-US" w:eastAsia="zh-CN"/>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_Toc22987 </w:instrText>
      </w:r>
      <w:r>
        <w:rPr>
          <w:rFonts w:hint="eastAsia" w:ascii="宋体" w:hAnsi="宋体" w:eastAsia="宋体" w:cs="宋体"/>
          <w:sz w:val="28"/>
          <w:szCs w:val="28"/>
        </w:rPr>
        <w:fldChar w:fldCharType="separate"/>
      </w:r>
      <w:r>
        <w:rPr>
          <w:rFonts w:hint="eastAsia" w:ascii="宋体" w:hAnsi="宋体" w:eastAsia="宋体" w:cs="宋体"/>
          <w:sz w:val="28"/>
          <w:szCs w:val="28"/>
          <w:highlight w:val="none"/>
          <w:lang w:val="en-US" w:eastAsia="zh-CN"/>
        </w:rPr>
        <w:t>第</w:t>
      </w:r>
      <w:r>
        <w:rPr>
          <w:rFonts w:hint="eastAsia" w:hAnsi="宋体" w:eastAsia="宋体" w:cs="宋体"/>
          <w:sz w:val="28"/>
          <w:szCs w:val="28"/>
          <w:highlight w:val="none"/>
          <w:lang w:val="en-US" w:eastAsia="zh-CN"/>
        </w:rPr>
        <w:t>五</w:t>
      </w:r>
      <w:r>
        <w:rPr>
          <w:rFonts w:hint="eastAsia" w:ascii="宋体" w:hAnsi="宋体" w:eastAsia="宋体" w:cs="宋体"/>
          <w:sz w:val="28"/>
          <w:szCs w:val="28"/>
          <w:highlight w:val="none"/>
          <w:lang w:val="en-US" w:eastAsia="zh-CN"/>
        </w:rPr>
        <w:t>章合同条款及格式</w:t>
      </w:r>
      <w:r>
        <w:rPr>
          <w:rFonts w:hint="eastAsia" w:ascii="宋体" w:hAnsi="宋体" w:eastAsia="宋体" w:cs="宋体"/>
          <w:sz w:val="28"/>
          <w:szCs w:val="28"/>
        </w:rPr>
        <w:tab/>
      </w:r>
      <w:r>
        <w:rPr>
          <w:rFonts w:hint="eastAsia" w:hAnsi="宋体" w:eastAsia="宋体" w:cs="宋体"/>
          <w:sz w:val="28"/>
          <w:szCs w:val="28"/>
          <w:lang w:val="en-US" w:eastAsia="zh-CN"/>
        </w:rPr>
        <w:t>1</w:t>
      </w:r>
      <w:r>
        <w:rPr>
          <w:rFonts w:hint="eastAsia" w:ascii="宋体" w:hAnsi="宋体" w:eastAsia="宋体" w:cs="宋体"/>
          <w:sz w:val="28"/>
          <w:szCs w:val="28"/>
        </w:rPr>
        <w:fldChar w:fldCharType="end"/>
      </w:r>
      <w:r>
        <w:rPr>
          <w:rFonts w:hint="eastAsia" w:hAnsi="宋体" w:eastAsia="宋体" w:cs="宋体"/>
          <w:sz w:val="28"/>
          <w:szCs w:val="28"/>
          <w:lang w:val="en-US" w:eastAsia="zh-CN"/>
        </w:rPr>
        <w:t>8</w:t>
      </w:r>
    </w:p>
    <w:p w14:paraId="36749082">
      <w:pPr>
        <w:pStyle w:val="33"/>
        <w:tabs>
          <w:tab w:val="right" w:leader="dot" w:pos="9541"/>
          <w:tab w:val="clear" w:pos="829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_Toc22987 </w:instrText>
      </w:r>
      <w:r>
        <w:rPr>
          <w:rFonts w:hint="eastAsia" w:ascii="宋体" w:hAnsi="宋体" w:eastAsia="宋体" w:cs="宋体"/>
          <w:sz w:val="28"/>
          <w:szCs w:val="28"/>
        </w:rPr>
        <w:fldChar w:fldCharType="separate"/>
      </w:r>
      <w:r>
        <w:rPr>
          <w:rFonts w:hint="eastAsia" w:ascii="宋体" w:hAnsi="宋体" w:eastAsia="宋体" w:cs="宋体"/>
          <w:sz w:val="28"/>
          <w:szCs w:val="28"/>
          <w:highlight w:val="none"/>
          <w:lang w:val="en-US" w:eastAsia="zh-CN"/>
        </w:rPr>
        <w:t>第</w:t>
      </w:r>
      <w:r>
        <w:rPr>
          <w:rFonts w:hint="eastAsia" w:hAnsi="宋体" w:eastAsia="宋体" w:cs="宋体"/>
          <w:sz w:val="28"/>
          <w:szCs w:val="28"/>
          <w:highlight w:val="none"/>
          <w:lang w:val="en-US" w:eastAsia="zh-CN"/>
        </w:rPr>
        <w:t>六</w:t>
      </w:r>
      <w:r>
        <w:rPr>
          <w:rFonts w:hint="eastAsia" w:ascii="宋体" w:hAnsi="宋体" w:eastAsia="宋体" w:cs="宋体"/>
          <w:sz w:val="28"/>
          <w:szCs w:val="28"/>
          <w:highlight w:val="none"/>
          <w:lang w:val="en-US" w:eastAsia="zh-CN"/>
        </w:rPr>
        <w:t>章投标文件格式</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_Toc22987 \h </w:instrText>
      </w:r>
      <w:r>
        <w:rPr>
          <w:rFonts w:hint="eastAsia" w:ascii="宋体" w:hAnsi="宋体" w:eastAsia="宋体" w:cs="宋体"/>
          <w:sz w:val="28"/>
          <w:szCs w:val="28"/>
        </w:rPr>
        <w:fldChar w:fldCharType="separate"/>
      </w:r>
      <w:r>
        <w:rPr>
          <w:rFonts w:hint="eastAsia" w:ascii="宋体" w:hAnsi="宋体" w:eastAsia="宋体" w:cs="宋体"/>
          <w:sz w:val="28"/>
          <w:szCs w:val="28"/>
        </w:rPr>
        <w:t>24</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2B50F080">
      <w:pPr>
        <w:pStyle w:val="33"/>
        <w:tabs>
          <w:tab w:val="right" w:leader="dot" w:pos="9541"/>
          <w:tab w:val="clear" w:pos="829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_Toc10914 </w:instrText>
      </w:r>
      <w:r>
        <w:rPr>
          <w:rFonts w:hint="eastAsia" w:ascii="宋体" w:hAnsi="宋体" w:eastAsia="宋体" w:cs="宋体"/>
          <w:sz w:val="28"/>
          <w:szCs w:val="28"/>
        </w:rPr>
        <w:fldChar w:fldCharType="separate"/>
      </w:r>
      <w:r>
        <w:rPr>
          <w:rFonts w:hint="eastAsia" w:ascii="宋体" w:hAnsi="宋体" w:eastAsia="宋体" w:cs="宋体"/>
          <w:sz w:val="28"/>
          <w:szCs w:val="28"/>
        </w:rPr>
        <w:t>附件1 关于联合惩戒失信行为加强信用查询管理的通知</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_Toc10914 \h </w:instrText>
      </w:r>
      <w:r>
        <w:rPr>
          <w:rFonts w:hint="eastAsia" w:ascii="宋体" w:hAnsi="宋体" w:eastAsia="宋体" w:cs="宋体"/>
          <w:sz w:val="28"/>
          <w:szCs w:val="28"/>
        </w:rPr>
        <w:fldChar w:fldCharType="separate"/>
      </w:r>
      <w:r>
        <w:rPr>
          <w:rFonts w:hint="eastAsia" w:ascii="宋体" w:hAnsi="宋体" w:eastAsia="宋体" w:cs="宋体"/>
          <w:sz w:val="28"/>
          <w:szCs w:val="28"/>
        </w:rPr>
        <w:t>32</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48FC648F">
      <w:pPr>
        <w:pStyle w:val="33"/>
        <w:tabs>
          <w:tab w:val="right" w:leader="dot" w:pos="9541"/>
          <w:tab w:val="clear" w:pos="829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_Toc12420 </w:instrText>
      </w:r>
      <w:r>
        <w:rPr>
          <w:rFonts w:hint="eastAsia" w:ascii="宋体" w:hAnsi="宋体" w:eastAsia="宋体" w:cs="宋体"/>
          <w:sz w:val="28"/>
          <w:szCs w:val="28"/>
        </w:rPr>
        <w:fldChar w:fldCharType="separate"/>
      </w:r>
      <w:r>
        <w:rPr>
          <w:rFonts w:hint="eastAsia" w:ascii="宋体" w:hAnsi="宋体" w:eastAsia="宋体" w:cs="宋体"/>
          <w:sz w:val="28"/>
          <w:szCs w:val="28"/>
        </w:rPr>
        <w:t>附件2 “信用中国”查询的严重失信行为类别及判定依据</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_Toc12420 \h </w:instrText>
      </w:r>
      <w:r>
        <w:rPr>
          <w:rFonts w:hint="eastAsia" w:ascii="宋体" w:hAnsi="宋体" w:eastAsia="宋体" w:cs="宋体"/>
          <w:sz w:val="28"/>
          <w:szCs w:val="28"/>
        </w:rPr>
        <w:fldChar w:fldCharType="separate"/>
      </w:r>
      <w:r>
        <w:rPr>
          <w:rFonts w:hint="eastAsia" w:ascii="宋体" w:hAnsi="宋体" w:eastAsia="宋体" w:cs="宋体"/>
          <w:sz w:val="28"/>
          <w:szCs w:val="28"/>
        </w:rPr>
        <w:t>35</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40B609B7">
      <w:pPr>
        <w:pStyle w:val="33"/>
        <w:tabs>
          <w:tab w:val="right" w:leader="dot" w:pos="9541"/>
          <w:tab w:val="clear" w:pos="829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_Toc31259 </w:instrText>
      </w:r>
      <w:r>
        <w:rPr>
          <w:rFonts w:hint="eastAsia" w:ascii="宋体" w:hAnsi="宋体" w:eastAsia="宋体" w:cs="宋体"/>
          <w:sz w:val="28"/>
          <w:szCs w:val="28"/>
        </w:rPr>
        <w:fldChar w:fldCharType="separate"/>
      </w:r>
      <w:r>
        <w:rPr>
          <w:rFonts w:hint="eastAsia" w:ascii="宋体" w:hAnsi="宋体" w:eastAsia="宋体" w:cs="宋体"/>
          <w:sz w:val="28"/>
          <w:szCs w:val="28"/>
          <w:highlight w:val="none"/>
          <w:lang w:val="en-US" w:eastAsia="zh-CN"/>
        </w:rPr>
        <w:t>第</w:t>
      </w:r>
      <w:r>
        <w:rPr>
          <w:rFonts w:hint="eastAsia" w:hAnsi="宋体" w:eastAsia="宋体" w:cs="宋体"/>
          <w:sz w:val="28"/>
          <w:szCs w:val="28"/>
          <w:highlight w:val="none"/>
          <w:lang w:val="en-US" w:eastAsia="zh-CN"/>
        </w:rPr>
        <w:t>七</w:t>
      </w:r>
      <w:r>
        <w:rPr>
          <w:rFonts w:hint="eastAsia" w:ascii="宋体" w:hAnsi="宋体" w:eastAsia="宋体" w:cs="宋体"/>
          <w:sz w:val="28"/>
          <w:szCs w:val="28"/>
          <w:highlight w:val="none"/>
          <w:lang w:val="en-US" w:eastAsia="zh-CN"/>
        </w:rPr>
        <w:t>章招标单位、招标代理机构对本招标文件的确认</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_Toc31259 \h </w:instrText>
      </w:r>
      <w:r>
        <w:rPr>
          <w:rFonts w:hint="eastAsia" w:ascii="宋体" w:hAnsi="宋体" w:eastAsia="宋体" w:cs="宋体"/>
          <w:sz w:val="28"/>
          <w:szCs w:val="28"/>
        </w:rPr>
        <w:fldChar w:fldCharType="separate"/>
      </w:r>
      <w:r>
        <w:rPr>
          <w:rFonts w:hint="eastAsia" w:ascii="宋体" w:hAnsi="宋体" w:eastAsia="宋体" w:cs="宋体"/>
          <w:sz w:val="28"/>
          <w:szCs w:val="28"/>
        </w:rPr>
        <w:t>43</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639437C4">
      <w:r>
        <w:rPr>
          <w:rFonts w:hint="eastAsia" w:ascii="宋体" w:hAnsi="宋体" w:eastAsia="宋体" w:cs="宋体"/>
          <w:sz w:val="28"/>
          <w:szCs w:val="28"/>
        </w:rPr>
        <w:fldChar w:fldCharType="end"/>
      </w:r>
    </w:p>
    <w:p w14:paraId="70F828E3">
      <w:pPr>
        <w:pStyle w:val="3"/>
        <w:spacing w:before="0" w:after="0" w:line="480" w:lineRule="auto"/>
        <w:jc w:val="both"/>
        <w:rPr>
          <w:rFonts w:hint="default" w:ascii="仿宋" w:eastAsia="宋体" w:cs="仿宋"/>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 xml:space="preserve"> </w:t>
      </w:r>
    </w:p>
    <w:p w14:paraId="609DD41C">
      <w:pPr>
        <w:rPr>
          <w:color w:val="auto"/>
          <w:highlight w:val="none"/>
        </w:rPr>
        <w:sectPr>
          <w:footerReference r:id="rId5" w:type="first"/>
          <w:headerReference r:id="rId3" w:type="default"/>
          <w:footerReference r:id="rId4" w:type="default"/>
          <w:pgSz w:w="11906" w:h="16838"/>
          <w:pgMar w:top="935" w:right="1106" w:bottom="936" w:left="1259" w:header="680" w:footer="680" w:gutter="0"/>
          <w:pgNumType w:start="1"/>
          <w:cols w:space="0" w:num="1"/>
          <w:docGrid w:type="lines" w:linePitch="318" w:charSpace="0"/>
        </w:sectPr>
      </w:pPr>
      <w:r>
        <w:rPr>
          <w:rFonts w:hint="eastAsia" w:ascii="宋体" w:hAnsi="宋体" w:eastAsia="宋体" w:cs="宋体"/>
          <w:b w:val="0"/>
          <w:bCs w:val="0"/>
          <w:color w:val="auto"/>
          <w:sz w:val="24"/>
          <w:szCs w:val="24"/>
          <w:highlight w:val="none"/>
        </w:rPr>
        <w:tab/>
      </w:r>
    </w:p>
    <w:p w14:paraId="0DD821C9">
      <w:pPr>
        <w:pStyle w:val="3"/>
        <w:keepNext/>
        <w:keepLines/>
        <w:pageBreakBefore w:val="0"/>
        <w:widowControl w:val="0"/>
        <w:kinsoku/>
        <w:wordWrap w:val="0"/>
        <w:overflowPunct/>
        <w:topLinePunct w:val="0"/>
        <w:autoSpaceDE/>
        <w:autoSpaceDN/>
        <w:bidi w:val="0"/>
        <w:adjustRightInd w:val="0"/>
        <w:snapToGrid w:val="0"/>
        <w:spacing w:before="0" w:after="0" w:line="440" w:lineRule="exact"/>
        <w:jc w:val="center"/>
        <w:textAlignment w:val="auto"/>
        <w:rPr>
          <w:rFonts w:hint="eastAsia" w:ascii="宋体" w:hAnsi="宋体" w:eastAsia="宋体" w:cs="宋体"/>
          <w:bCs/>
          <w:color w:val="auto"/>
          <w:sz w:val="36"/>
          <w:szCs w:val="36"/>
          <w:highlight w:val="none"/>
        </w:rPr>
      </w:pPr>
      <w:bookmarkStart w:id="0" w:name="_Toc31751"/>
      <w:r>
        <w:rPr>
          <w:rFonts w:hint="eastAsia" w:ascii="宋体" w:hAnsi="宋体" w:eastAsia="宋体" w:cs="宋体"/>
          <w:bCs/>
          <w:color w:val="auto"/>
          <w:sz w:val="36"/>
          <w:szCs w:val="36"/>
          <w:highlight w:val="none"/>
          <w:lang w:eastAsia="zh-CN"/>
        </w:rPr>
        <w:t>工投高新科技园项目14号厂房电力工程</w:t>
      </w:r>
      <w:r>
        <w:rPr>
          <w:rFonts w:hint="eastAsia" w:ascii="宋体" w:hAnsi="宋体" w:eastAsia="宋体" w:cs="宋体"/>
          <w:bCs/>
          <w:color w:val="auto"/>
          <w:sz w:val="36"/>
          <w:szCs w:val="36"/>
          <w:highlight w:val="none"/>
        </w:rPr>
        <w:t>招标公告</w:t>
      </w:r>
      <w:bookmarkEnd w:id="0"/>
    </w:p>
    <w:tbl>
      <w:tblPr>
        <w:tblStyle w:val="49"/>
        <w:tblW w:w="101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2"/>
        <w:gridCol w:w="675"/>
        <w:gridCol w:w="2444"/>
        <w:gridCol w:w="7"/>
        <w:gridCol w:w="525"/>
        <w:gridCol w:w="2123"/>
        <w:gridCol w:w="2872"/>
      </w:tblGrid>
      <w:tr w14:paraId="58F19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2147" w:type="dxa"/>
            <w:gridSpan w:val="2"/>
            <w:noWrap w:val="0"/>
            <w:vAlign w:val="center"/>
          </w:tcPr>
          <w:p w14:paraId="522324D6">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招标项目名称</w:t>
            </w:r>
          </w:p>
        </w:tc>
        <w:tc>
          <w:tcPr>
            <w:tcW w:w="7971" w:type="dxa"/>
            <w:gridSpan w:val="5"/>
            <w:noWrap w:val="0"/>
            <w:vAlign w:val="center"/>
          </w:tcPr>
          <w:p w14:paraId="61D459A1">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default" w:ascii="宋体" w:hAnsi="宋体" w:eastAsia="宋体" w:cs="宋体"/>
                <w:bCs/>
                <w:color w:val="auto"/>
                <w:kern w:val="1"/>
                <w:sz w:val="21"/>
                <w:szCs w:val="21"/>
                <w:highlight w:val="none"/>
                <w:lang w:val="en-US" w:eastAsia="zh-CN"/>
              </w:rPr>
            </w:pPr>
            <w:r>
              <w:rPr>
                <w:rFonts w:hint="eastAsia" w:ascii="宋体" w:hAnsi="宋体" w:cs="宋体"/>
                <w:bCs/>
                <w:color w:val="auto"/>
                <w:kern w:val="1"/>
                <w:sz w:val="21"/>
                <w:szCs w:val="21"/>
                <w:highlight w:val="none"/>
                <w:lang w:val="en-US" w:eastAsia="zh-CN"/>
              </w:rPr>
              <w:t>工投高新科技园项目14号厂房电力工程</w:t>
            </w:r>
            <w:r>
              <w:rPr>
                <w:rFonts w:hint="default" w:ascii="宋体" w:hAnsi="宋体" w:eastAsia="宋体" w:cs="宋体"/>
                <w:bCs/>
                <w:color w:val="auto"/>
                <w:kern w:val="1"/>
                <w:sz w:val="21"/>
                <w:szCs w:val="21"/>
                <w:highlight w:val="none"/>
                <w:lang w:val="en-US" w:eastAsia="zh-CN"/>
              </w:rPr>
              <w:t xml:space="preserve"> </w:t>
            </w:r>
          </w:p>
        </w:tc>
      </w:tr>
      <w:tr w14:paraId="4878F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2147" w:type="dxa"/>
            <w:gridSpan w:val="2"/>
            <w:noWrap w:val="0"/>
            <w:vAlign w:val="center"/>
          </w:tcPr>
          <w:p w14:paraId="7A668937">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项目编号</w:t>
            </w:r>
          </w:p>
        </w:tc>
        <w:tc>
          <w:tcPr>
            <w:tcW w:w="7971" w:type="dxa"/>
            <w:gridSpan w:val="5"/>
            <w:noWrap w:val="0"/>
            <w:vAlign w:val="center"/>
          </w:tcPr>
          <w:p w14:paraId="332EE9A8">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ascii="宋体" w:hAnsi="宋体" w:cs="宋体"/>
                <w:bCs/>
                <w:color w:val="auto"/>
                <w:kern w:val="1"/>
                <w:sz w:val="21"/>
                <w:szCs w:val="21"/>
                <w:highlight w:val="none"/>
                <w:lang w:val="en-US" w:eastAsia="zh-CN"/>
              </w:rPr>
            </w:pPr>
            <w:r>
              <w:rPr>
                <w:rFonts w:hint="eastAsia" w:ascii="宋体" w:hAnsi="宋体" w:cs="宋体"/>
                <w:bCs/>
                <w:color w:val="auto"/>
                <w:kern w:val="1"/>
                <w:sz w:val="21"/>
                <w:szCs w:val="21"/>
                <w:highlight w:val="none"/>
                <w:lang w:val="en-US" w:eastAsia="zh-CN"/>
              </w:rPr>
              <w:t>HXJY1110001032820</w:t>
            </w:r>
          </w:p>
        </w:tc>
      </w:tr>
      <w:tr w14:paraId="50C24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47" w:type="dxa"/>
            <w:gridSpan w:val="2"/>
            <w:noWrap w:val="0"/>
            <w:vAlign w:val="center"/>
          </w:tcPr>
          <w:p w14:paraId="25754D30">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招标方式</w:t>
            </w:r>
          </w:p>
        </w:tc>
        <w:tc>
          <w:tcPr>
            <w:tcW w:w="7971" w:type="dxa"/>
            <w:gridSpan w:val="5"/>
            <w:noWrap w:val="0"/>
            <w:vAlign w:val="center"/>
          </w:tcPr>
          <w:p w14:paraId="573D7508">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ascii="宋体" w:hAnsi="宋体" w:eastAsia="宋体" w:cs="宋体"/>
                <w:bCs/>
                <w:color w:val="auto"/>
                <w:kern w:val="1"/>
                <w:sz w:val="21"/>
                <w:szCs w:val="21"/>
                <w:highlight w:val="none"/>
                <w:lang w:eastAsia="zh-CN"/>
              </w:rPr>
            </w:pPr>
            <w:r>
              <w:rPr>
                <w:rFonts w:hint="eastAsia" w:ascii="宋体" w:hAnsi="宋体" w:eastAsia="宋体" w:cs="宋体"/>
                <w:bCs/>
                <w:color w:val="auto"/>
                <w:kern w:val="1"/>
                <w:sz w:val="21"/>
                <w:szCs w:val="21"/>
                <w:highlight w:val="none"/>
                <w:lang w:eastAsia="zh-CN"/>
              </w:rPr>
              <w:t>公开招标</w:t>
            </w:r>
          </w:p>
        </w:tc>
      </w:tr>
      <w:tr w14:paraId="672D9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5" w:hRule="atLeast"/>
          <w:jc w:val="center"/>
        </w:trPr>
        <w:tc>
          <w:tcPr>
            <w:tcW w:w="2147" w:type="dxa"/>
            <w:gridSpan w:val="2"/>
            <w:noWrap w:val="0"/>
            <w:vAlign w:val="center"/>
          </w:tcPr>
          <w:p w14:paraId="6B91DDD0">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投标人资格要求</w:t>
            </w:r>
          </w:p>
        </w:tc>
        <w:tc>
          <w:tcPr>
            <w:tcW w:w="7971" w:type="dxa"/>
            <w:gridSpan w:val="5"/>
            <w:noWrap w:val="0"/>
            <w:vAlign w:val="center"/>
          </w:tcPr>
          <w:p w14:paraId="16FA6B9B">
            <w:pPr>
              <w:keepNext w:val="0"/>
              <w:keepLines w:val="0"/>
              <w:pageBreakBefore w:val="0"/>
              <w:kinsoku/>
              <w:wordWrap/>
              <w:overflowPunct/>
              <w:topLinePunct w:val="0"/>
              <w:autoSpaceDE/>
              <w:autoSpaceDN/>
              <w:bidi w:val="0"/>
              <w:spacing w:line="460" w:lineRule="exact"/>
              <w:jc w:val="left"/>
              <w:textAlignment w:val="auto"/>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1、企业资格要求：投标人具有电力工程施工总承包叁级及以上资质。</w:t>
            </w:r>
          </w:p>
          <w:p w14:paraId="0EFC6816">
            <w:pPr>
              <w:keepNext w:val="0"/>
              <w:keepLines w:val="0"/>
              <w:pageBreakBefore w:val="0"/>
              <w:kinsoku/>
              <w:wordWrap/>
              <w:overflowPunct/>
              <w:topLinePunct w:val="0"/>
              <w:autoSpaceDE/>
              <w:autoSpaceDN/>
              <w:bidi w:val="0"/>
              <w:spacing w:line="460" w:lineRule="exact"/>
              <w:jc w:val="left"/>
              <w:textAlignment w:val="auto"/>
              <w:rPr>
                <w:rFonts w:hint="eastAsia" w:ascii="宋体" w:hAnsi="宋体" w:eastAsia="宋体" w:cs="宋体"/>
                <w:bCs/>
                <w:color w:val="auto"/>
                <w:kern w:val="1"/>
                <w:sz w:val="21"/>
                <w:szCs w:val="21"/>
                <w:highlight w:val="none"/>
                <w:lang w:val="en-US" w:eastAsia="zh-CN"/>
              </w:rPr>
            </w:pPr>
            <w:r>
              <w:rPr>
                <w:rFonts w:hint="eastAsia" w:ascii="宋体" w:hAnsi="宋体" w:eastAsia="宋体" w:cs="宋体"/>
                <w:color w:val="auto"/>
                <w:kern w:val="0"/>
                <w:szCs w:val="21"/>
                <w:lang w:val="en-US" w:eastAsia="zh-CN"/>
              </w:rPr>
              <w:t>2、项目经理（项目负责人）要求：注册在投标单位的机电工程专业二级及以上资质的注册建造师</w:t>
            </w:r>
            <w:r>
              <w:rPr>
                <w:rFonts w:hint="eastAsia" w:ascii="宋体" w:hAnsi="宋体" w:eastAsia="宋体" w:cs="宋体"/>
                <w:color w:val="auto"/>
                <w:szCs w:val="21"/>
                <w:highlight w:val="none"/>
                <w:lang w:val="en-US" w:eastAsia="zh-CN"/>
              </w:rPr>
              <w:t>或具有电工作业进网许可证或高压操作证</w:t>
            </w:r>
            <w:r>
              <w:rPr>
                <w:rFonts w:hint="eastAsia" w:ascii="宋体" w:hAnsi="宋体" w:eastAsia="宋体" w:cs="宋体"/>
                <w:color w:val="auto"/>
                <w:kern w:val="0"/>
                <w:szCs w:val="21"/>
                <w:lang w:val="en-US" w:eastAsia="zh-CN"/>
              </w:rPr>
              <w:t>。</w:t>
            </w:r>
          </w:p>
          <w:p w14:paraId="582A0C98">
            <w:pPr>
              <w:pStyle w:val="26"/>
              <w:pageBreakBefore w:val="0"/>
              <w:kinsoku/>
              <w:wordWrap/>
              <w:overflowPunct/>
              <w:topLinePunct w:val="0"/>
              <w:autoSpaceDE/>
              <w:autoSpaceDN/>
              <w:bidi w:val="0"/>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投标人存在以下情形之一的，不得被确定为中标人：</w:t>
            </w:r>
          </w:p>
          <w:p w14:paraId="3A2CDADB">
            <w:pPr>
              <w:pStyle w:val="26"/>
              <w:pageBreakBefore w:val="0"/>
              <w:kinsoku/>
              <w:wordWrap/>
              <w:overflowPunct/>
              <w:topLinePunct w:val="0"/>
              <w:autoSpaceDE/>
              <w:autoSpaceDN/>
              <w:bidi w:val="0"/>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①投标人被人民法院列入失信被执行人的；</w:t>
            </w:r>
          </w:p>
          <w:p w14:paraId="2ACE9933">
            <w:pPr>
              <w:pStyle w:val="26"/>
              <w:pageBreakBefore w:val="0"/>
              <w:kinsoku/>
              <w:wordWrap/>
              <w:overflowPunct/>
              <w:topLinePunct w:val="0"/>
              <w:autoSpaceDE/>
              <w:autoSpaceDN/>
              <w:bidi w:val="0"/>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②投标人或其法定代表人或拟派项目经理（建造师）前三年有行贿犯罪行为的；</w:t>
            </w:r>
          </w:p>
          <w:p w14:paraId="5051F906">
            <w:pPr>
              <w:pStyle w:val="26"/>
              <w:pageBreakBefore w:val="0"/>
              <w:kinsoku/>
              <w:wordWrap/>
              <w:overflowPunct/>
              <w:topLinePunct w:val="0"/>
              <w:autoSpaceDE/>
              <w:autoSpaceDN/>
              <w:bidi w:val="0"/>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③投标人被市场监督管理部门列入经营异常名录或者严重违法企业名单，且未被移除的；</w:t>
            </w:r>
          </w:p>
          <w:p w14:paraId="41E8E132">
            <w:pPr>
              <w:pStyle w:val="26"/>
              <w:pageBreakBefore w:val="0"/>
              <w:kinsoku/>
              <w:wordWrap/>
              <w:overflowPunct/>
              <w:topLinePunct w:val="0"/>
              <w:autoSpaceDE/>
              <w:autoSpaceDN/>
              <w:bidi w:val="0"/>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④投标人被税务部门列入重大税收违法案件当事人的；</w:t>
            </w:r>
          </w:p>
          <w:p w14:paraId="09EAAB6B">
            <w:pPr>
              <w:pStyle w:val="26"/>
              <w:pageBreakBefore w:val="0"/>
              <w:kinsoku/>
              <w:wordWrap/>
              <w:overflowPunct/>
              <w:topLinePunct w:val="0"/>
              <w:autoSpaceDE/>
              <w:autoSpaceDN/>
              <w:bidi w:val="0"/>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⑤在“信用中国”网站上披露仍在公示期的严重失信行为的；</w:t>
            </w:r>
          </w:p>
          <w:p w14:paraId="4263A68A">
            <w:pPr>
              <w:pStyle w:val="26"/>
              <w:pageBreakBefore w:val="0"/>
              <w:kinsoku/>
              <w:wordWrap/>
              <w:overflowPunct/>
              <w:topLinePunct w:val="0"/>
              <w:autoSpaceDE/>
              <w:autoSpaceDN/>
              <w:bidi w:val="0"/>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⑥被滁州市县两级各行业主管部门及公管部门取消在一定期限内的投标资格且在取消期限内的；</w:t>
            </w:r>
          </w:p>
          <w:p w14:paraId="6BFC3791">
            <w:pPr>
              <w:pStyle w:val="26"/>
              <w:pageBreakBefore w:val="0"/>
              <w:kinsoku/>
              <w:wordWrap/>
              <w:overflowPunct/>
              <w:topLinePunct w:val="0"/>
              <w:autoSpaceDE/>
              <w:autoSpaceDN/>
              <w:bidi w:val="0"/>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⑦被人力资源社会保障主管部门列入拖欠农民工工资‘黑名单’或因拖欠农民工工资被县级及以上有关行政主管部门限制投标资格且在限制期限内的；</w:t>
            </w:r>
          </w:p>
          <w:p w14:paraId="44E53F9A">
            <w:pPr>
              <w:pStyle w:val="26"/>
              <w:pageBreakBefore w:val="0"/>
              <w:kinsoku/>
              <w:wordWrap/>
              <w:overflowPunct/>
              <w:topLinePunct w:val="0"/>
              <w:autoSpaceDE/>
              <w:autoSpaceDN/>
              <w:bidi w:val="0"/>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⑧被列入省级、市级农民工工资支付异常名录的施工企业，限制其参加全市范围内房建和市政工程建设项目投标；列入县级异常名录的施工企业，限制其参加本行政区域内房建和市政建设项目投标。</w:t>
            </w:r>
          </w:p>
          <w:p w14:paraId="14EE8687">
            <w:pPr>
              <w:pStyle w:val="26"/>
              <w:pageBreakBefore w:val="0"/>
              <w:kinsoku/>
              <w:wordWrap/>
              <w:overflowPunct/>
              <w:topLinePunct w:val="0"/>
              <w:autoSpaceDE/>
              <w:autoSpaceDN/>
              <w:bidi w:val="0"/>
              <w:spacing w:line="400" w:lineRule="exact"/>
              <w:jc w:val="left"/>
              <w:textAlignment w:val="auto"/>
              <w:rPr>
                <w:rFonts w:hint="eastAsia" w:ascii="宋体" w:hAnsi="宋体" w:eastAsia="宋体" w:cs="宋体"/>
                <w:color w:val="auto"/>
                <w:sz w:val="21"/>
                <w:szCs w:val="21"/>
                <w:highlight w:val="yellow"/>
                <w:lang w:val="en-US" w:eastAsia="zh-CN"/>
              </w:rPr>
            </w:pPr>
            <w:r>
              <w:rPr>
                <w:rFonts w:hint="eastAsia"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投标人所属分公司、办事处等分支机构存在第2条信誉要求①-⑧项情形之一的，接受其被确定为中标人。</w:t>
            </w:r>
          </w:p>
          <w:p w14:paraId="711EAF08">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ascii="宋体" w:hAnsi="宋体" w:eastAsia="宋体" w:cs="宋体"/>
                <w:bCs/>
                <w:color w:val="auto"/>
                <w:kern w:val="1"/>
                <w:sz w:val="21"/>
                <w:szCs w:val="21"/>
                <w:highlight w:val="none"/>
                <w:lang w:eastAsia="zh-CN"/>
              </w:rPr>
            </w:pPr>
            <w:r>
              <w:rPr>
                <w:rFonts w:hint="eastAsia" w:ascii="宋体" w:hAnsi="宋体" w:eastAsia="宋体" w:cs="宋体"/>
                <w:color w:val="auto"/>
                <w:szCs w:val="21"/>
              </w:rPr>
              <w:t>备注：第</w:t>
            </w:r>
            <w:r>
              <w:rPr>
                <w:rFonts w:hint="eastAsia" w:ascii="宋体" w:hAnsi="宋体" w:cs="宋体"/>
                <w:color w:val="auto"/>
                <w:szCs w:val="21"/>
                <w:lang w:val="en-US" w:eastAsia="zh-CN"/>
              </w:rPr>
              <w:t>3</w:t>
            </w:r>
            <w:r>
              <w:rPr>
                <w:rFonts w:hint="eastAsia" w:ascii="宋体" w:hAnsi="宋体" w:eastAsia="宋体" w:cs="宋体"/>
                <w:color w:val="auto"/>
                <w:szCs w:val="21"/>
                <w:lang w:val="en-US" w:eastAsia="zh-CN"/>
              </w:rPr>
              <w:t>、</w:t>
            </w:r>
            <w:r>
              <w:rPr>
                <w:rFonts w:hint="eastAsia" w:ascii="宋体" w:hAnsi="宋体" w:cs="宋体"/>
                <w:color w:val="auto"/>
                <w:szCs w:val="21"/>
                <w:lang w:val="en-US" w:eastAsia="zh-CN"/>
              </w:rPr>
              <w:t>4</w:t>
            </w:r>
            <w:r>
              <w:rPr>
                <w:rFonts w:hint="eastAsia" w:ascii="宋体" w:hAnsi="宋体" w:eastAsia="宋体" w:cs="宋体"/>
                <w:color w:val="auto"/>
                <w:szCs w:val="21"/>
              </w:rPr>
              <w:t>条按照附件1“关于联合惩戒失信行为加强信用查询管理的通知”查询或承诺。</w:t>
            </w:r>
            <w:r>
              <w:rPr>
                <w:rFonts w:hint="eastAsia" w:ascii="宋体" w:hAnsi="宋体" w:eastAsia="宋体" w:cs="宋体"/>
                <w:bCs/>
                <w:color w:val="auto"/>
                <w:kern w:val="1"/>
                <w:sz w:val="21"/>
                <w:szCs w:val="21"/>
                <w:highlight w:val="none"/>
              </w:rPr>
              <w:t xml:space="preserve">     </w:t>
            </w:r>
          </w:p>
        </w:tc>
      </w:tr>
      <w:tr w14:paraId="0A645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7" w:type="dxa"/>
            <w:gridSpan w:val="2"/>
            <w:noWrap w:val="0"/>
            <w:vAlign w:val="center"/>
          </w:tcPr>
          <w:p w14:paraId="2D9D33BF">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是否接受联合体投标</w:t>
            </w:r>
          </w:p>
        </w:tc>
        <w:tc>
          <w:tcPr>
            <w:tcW w:w="7971" w:type="dxa"/>
            <w:gridSpan w:val="5"/>
            <w:noWrap w:val="0"/>
            <w:vAlign w:val="center"/>
          </w:tcPr>
          <w:p w14:paraId="4CB7E3D6">
            <w:pPr>
              <w:pStyle w:val="26"/>
              <w:keepNext w:val="0"/>
              <w:keepLines w:val="0"/>
              <w:pageBreakBefore w:val="0"/>
              <w:kinsoku/>
              <w:wordWrap/>
              <w:overflowPunct/>
              <w:topLinePunct w:val="0"/>
              <w:autoSpaceDE/>
              <w:autoSpaceDN/>
              <w:bidi w:val="0"/>
              <w:spacing w:line="460" w:lineRule="exact"/>
              <w:jc w:val="left"/>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不接受</w:t>
            </w:r>
          </w:p>
        </w:tc>
      </w:tr>
      <w:tr w14:paraId="434C6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7" w:type="dxa"/>
            <w:gridSpan w:val="2"/>
            <w:noWrap w:val="0"/>
            <w:vAlign w:val="center"/>
          </w:tcPr>
          <w:p w14:paraId="50838856">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招标项目规模</w:t>
            </w:r>
          </w:p>
        </w:tc>
        <w:tc>
          <w:tcPr>
            <w:tcW w:w="7971" w:type="dxa"/>
            <w:gridSpan w:val="5"/>
            <w:noWrap w:val="0"/>
            <w:vAlign w:val="center"/>
          </w:tcPr>
          <w:p w14:paraId="79139DD1">
            <w:pPr>
              <w:pStyle w:val="26"/>
              <w:keepNext w:val="0"/>
              <w:keepLines w:val="0"/>
              <w:pageBreakBefore w:val="0"/>
              <w:kinsoku/>
              <w:wordWrap/>
              <w:overflowPunct/>
              <w:topLinePunct w:val="0"/>
              <w:autoSpaceDE/>
              <w:autoSpaceDN/>
              <w:bidi w:val="0"/>
              <w:spacing w:line="460" w:lineRule="exact"/>
              <w:jc w:val="left"/>
              <w:textAlignment w:val="auto"/>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项目预算</w:t>
            </w:r>
            <w:r>
              <w:rPr>
                <w:rFonts w:hint="eastAsia" w:hAnsi="宋体" w:cs="宋体"/>
                <w:color w:val="auto"/>
                <w:kern w:val="0"/>
                <w:sz w:val="21"/>
                <w:szCs w:val="21"/>
                <w:lang w:val="en-US" w:eastAsia="zh-CN"/>
              </w:rPr>
              <w:t>945000.00</w:t>
            </w:r>
            <w:r>
              <w:rPr>
                <w:rFonts w:hint="eastAsia" w:ascii="宋体" w:hAnsi="宋体" w:eastAsia="宋体" w:cs="宋体"/>
                <w:color w:val="auto"/>
                <w:kern w:val="0"/>
                <w:sz w:val="21"/>
                <w:szCs w:val="21"/>
                <w:lang w:val="en-US" w:eastAsia="zh-CN"/>
              </w:rPr>
              <w:t>元。</w:t>
            </w:r>
          </w:p>
        </w:tc>
      </w:tr>
      <w:tr w14:paraId="198F3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7" w:type="dxa"/>
            <w:gridSpan w:val="2"/>
            <w:noWrap w:val="0"/>
            <w:vAlign w:val="center"/>
          </w:tcPr>
          <w:p w14:paraId="3DB7FDD3">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招标项目内容范围</w:t>
            </w:r>
          </w:p>
        </w:tc>
        <w:tc>
          <w:tcPr>
            <w:tcW w:w="7971" w:type="dxa"/>
            <w:gridSpan w:val="5"/>
            <w:noWrap w:val="0"/>
            <w:vAlign w:val="center"/>
          </w:tcPr>
          <w:p w14:paraId="1B397A02">
            <w:pPr>
              <w:pStyle w:val="26"/>
              <w:keepNext w:val="0"/>
              <w:keepLines w:val="0"/>
              <w:pageBreakBefore w:val="0"/>
              <w:kinsoku/>
              <w:wordWrap/>
              <w:overflowPunct/>
              <w:topLinePunct w:val="0"/>
              <w:autoSpaceDE/>
              <w:autoSpaceDN/>
              <w:bidi w:val="0"/>
              <w:spacing w:line="460" w:lineRule="exact"/>
              <w:jc w:val="left"/>
              <w:textAlignment w:val="auto"/>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根据招标人提供的招标工程量清单内的全部内容。</w:t>
            </w:r>
          </w:p>
        </w:tc>
      </w:tr>
      <w:tr w14:paraId="30187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7" w:type="dxa"/>
            <w:gridSpan w:val="2"/>
            <w:noWrap w:val="0"/>
            <w:vAlign w:val="center"/>
          </w:tcPr>
          <w:p w14:paraId="3C013CBC">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招标文件获取时间</w:t>
            </w:r>
          </w:p>
        </w:tc>
        <w:tc>
          <w:tcPr>
            <w:tcW w:w="7971" w:type="dxa"/>
            <w:gridSpan w:val="5"/>
            <w:noWrap w:val="0"/>
            <w:vAlign w:val="center"/>
          </w:tcPr>
          <w:p w14:paraId="267AE852">
            <w:pPr>
              <w:pStyle w:val="26"/>
              <w:keepNext w:val="0"/>
              <w:keepLines w:val="0"/>
              <w:pageBreakBefore w:val="0"/>
              <w:kinsoku/>
              <w:wordWrap/>
              <w:overflowPunct/>
              <w:topLinePunct w:val="0"/>
              <w:autoSpaceDE/>
              <w:autoSpaceDN/>
              <w:bidi w:val="0"/>
              <w:spacing w:line="460" w:lineRule="exact"/>
              <w:jc w:val="left"/>
              <w:textAlignment w:val="auto"/>
              <w:rPr>
                <w:rFonts w:hint="eastAsia" w:ascii="宋体" w:hAnsi="宋体" w:eastAsia="宋体" w:cs="宋体"/>
                <w:b/>
                <w:bCs/>
                <w:color w:val="auto"/>
                <w:kern w:val="0"/>
                <w:sz w:val="21"/>
                <w:szCs w:val="21"/>
                <w:lang w:val="en-US" w:eastAsia="zh-CN"/>
              </w:rPr>
            </w:pPr>
            <w:r>
              <w:rPr>
                <w:rFonts w:hint="eastAsia" w:hAnsi="宋体" w:cs="宋体"/>
                <w:b/>
                <w:bCs/>
                <w:color w:val="auto"/>
                <w:kern w:val="0"/>
                <w:sz w:val="21"/>
                <w:szCs w:val="21"/>
                <w:lang w:val="en-US" w:eastAsia="zh-CN"/>
              </w:rPr>
              <w:t>2025年2月26日</w:t>
            </w:r>
            <w:r>
              <w:rPr>
                <w:rFonts w:hint="eastAsia" w:ascii="宋体" w:hAnsi="宋体" w:eastAsia="宋体" w:cs="宋体"/>
                <w:b/>
                <w:bCs/>
                <w:color w:val="auto"/>
                <w:kern w:val="0"/>
                <w:sz w:val="21"/>
                <w:szCs w:val="21"/>
                <w:lang w:val="en-US" w:eastAsia="zh-CN"/>
              </w:rPr>
              <w:t>-</w:t>
            </w:r>
            <w:r>
              <w:rPr>
                <w:rFonts w:hint="eastAsia" w:hAnsi="宋体" w:cs="宋体"/>
                <w:b/>
                <w:bCs/>
                <w:color w:val="auto"/>
                <w:kern w:val="0"/>
                <w:sz w:val="21"/>
                <w:szCs w:val="21"/>
                <w:lang w:val="en-US" w:eastAsia="zh-CN"/>
              </w:rPr>
              <w:t>2025年3月7日</w:t>
            </w:r>
          </w:p>
        </w:tc>
      </w:tr>
      <w:tr w14:paraId="73413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7" w:type="dxa"/>
            <w:gridSpan w:val="2"/>
            <w:noWrap w:val="0"/>
            <w:vAlign w:val="center"/>
          </w:tcPr>
          <w:p w14:paraId="611DAB65">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招标文件获取方式</w:t>
            </w:r>
          </w:p>
        </w:tc>
        <w:tc>
          <w:tcPr>
            <w:tcW w:w="7971" w:type="dxa"/>
            <w:gridSpan w:val="5"/>
            <w:noWrap w:val="0"/>
            <w:vAlign w:val="center"/>
          </w:tcPr>
          <w:p w14:paraId="470DE14C">
            <w:pPr>
              <w:keepNext w:val="0"/>
              <w:keepLines w:val="0"/>
              <w:pageBreakBefore w:val="0"/>
              <w:kinsoku/>
              <w:wordWrap/>
              <w:overflowPunct/>
              <w:topLinePunct w:val="0"/>
              <w:autoSpaceDE/>
              <w:autoSpaceDN/>
              <w:bidi w:val="0"/>
              <w:spacing w:line="440" w:lineRule="exact"/>
              <w:jc w:val="lef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网上下载</w:t>
            </w:r>
          </w:p>
          <w:p w14:paraId="77736475">
            <w:pPr>
              <w:keepNext w:val="0"/>
              <w:keepLines w:val="0"/>
              <w:pageBreakBefore w:val="0"/>
              <w:kinsoku/>
              <w:wordWrap/>
              <w:overflowPunct/>
              <w:topLinePunct w:val="0"/>
              <w:autoSpaceDE/>
              <w:autoSpaceDN/>
              <w:bidi w:val="0"/>
              <w:spacing w:line="440" w:lineRule="exact"/>
              <w:jc w:val="lef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投标人从滁州市城投工程咨询管理有限公司网站（https://www.czctgczx.com/）下载。</w:t>
            </w:r>
          </w:p>
          <w:p w14:paraId="17619B82">
            <w:pPr>
              <w:keepNext w:val="0"/>
              <w:keepLines w:val="0"/>
              <w:pageBreakBefore w:val="0"/>
              <w:kinsoku/>
              <w:wordWrap/>
              <w:overflowPunct/>
              <w:topLinePunct w:val="0"/>
              <w:autoSpaceDE/>
              <w:autoSpaceDN/>
              <w:bidi w:val="0"/>
              <w:spacing w:line="440" w:lineRule="exact"/>
              <w:jc w:val="lef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投标人自行承担因未按要求获取招标文件导致无法上传电子投标文件的风险。</w:t>
            </w:r>
          </w:p>
          <w:p w14:paraId="45CAEC38">
            <w:pPr>
              <w:keepNext w:val="0"/>
              <w:keepLines w:val="0"/>
              <w:pageBreakBefore w:val="0"/>
              <w:kinsoku/>
              <w:wordWrap/>
              <w:overflowPunct/>
              <w:topLinePunct w:val="0"/>
              <w:autoSpaceDE/>
              <w:autoSpaceDN/>
              <w:bidi w:val="0"/>
              <w:spacing w:line="440" w:lineRule="exact"/>
              <w:jc w:val="lef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方式：（1）投标人须登录新点电子交易平台【滁州专区】查询、获取采购文件。首次登录办理入库手续，办理入库不收取任何费用。新点电子招投标统一认证平台使用相关问题（如系统登录、信息登记、录入及提交、数字证书关联等）请拨打服务电话：4009280095-5（工作日）。  </w:t>
            </w:r>
          </w:p>
          <w:p w14:paraId="40058797">
            <w:pPr>
              <w:keepNext w:val="0"/>
              <w:keepLines w:val="0"/>
              <w:pageBreakBefore w:val="0"/>
              <w:kinsoku/>
              <w:wordWrap/>
              <w:overflowPunct/>
              <w:topLinePunct w:val="0"/>
              <w:autoSpaceDE/>
              <w:autoSpaceDN/>
              <w:bidi w:val="0"/>
              <w:spacing w:line="440" w:lineRule="exact"/>
              <w:jc w:val="lef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（2）投标人登录新点电子交易平台【滁州专区】获取招标文件及其它资料（含澄清和补充说明等）。如在招标文件获取过程中遇到系统问题，请拨打技术支持服务热线4009280095或者网站首页在线客服。</w:t>
            </w:r>
          </w:p>
          <w:p w14:paraId="29165EC2">
            <w:pPr>
              <w:keepNext w:val="0"/>
              <w:keepLines w:val="0"/>
              <w:pageBreakBefore w:val="0"/>
              <w:kinsoku/>
              <w:wordWrap/>
              <w:overflowPunct/>
              <w:topLinePunct w:val="0"/>
              <w:autoSpaceDE/>
              <w:autoSpaceDN/>
              <w:bidi w:val="0"/>
              <w:spacing w:line="440" w:lineRule="exact"/>
              <w:jc w:val="left"/>
              <w:textAlignment w:val="auto"/>
              <w:rPr>
                <w:rFonts w:hint="eastAsia" w:ascii="宋体" w:hAnsi="宋体" w:eastAsia="宋体" w:cs="宋体"/>
                <w:color w:val="auto"/>
                <w:kern w:val="0"/>
                <w:sz w:val="21"/>
                <w:szCs w:val="21"/>
                <w:lang w:val="en-US" w:eastAsia="zh-CN"/>
              </w:rPr>
            </w:pPr>
            <w:r>
              <w:rPr>
                <w:rFonts w:hint="eastAsia" w:ascii="宋体" w:hAnsi="宋体" w:eastAsia="宋体" w:cs="宋体"/>
                <w:b w:val="0"/>
                <w:bCs w:val="0"/>
                <w:color w:val="auto"/>
                <w:sz w:val="21"/>
                <w:szCs w:val="21"/>
                <w:highlight w:val="none"/>
                <w:lang w:val="en-US" w:eastAsia="zh-CN"/>
              </w:rPr>
              <w:t>2、招标文件及相关资料售价：人民币0元/套</w:t>
            </w:r>
          </w:p>
        </w:tc>
      </w:tr>
      <w:tr w14:paraId="78458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7" w:type="dxa"/>
            <w:gridSpan w:val="2"/>
            <w:noWrap w:val="0"/>
            <w:vAlign w:val="center"/>
          </w:tcPr>
          <w:p w14:paraId="447EB59E">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递交投标文件的</w:t>
            </w:r>
          </w:p>
          <w:p w14:paraId="5EC8D968">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截止时间</w:t>
            </w:r>
          </w:p>
        </w:tc>
        <w:tc>
          <w:tcPr>
            <w:tcW w:w="7971" w:type="dxa"/>
            <w:gridSpan w:val="5"/>
            <w:noWrap w:val="0"/>
            <w:vAlign w:val="center"/>
          </w:tcPr>
          <w:p w14:paraId="5AC44AB5">
            <w:pPr>
              <w:pStyle w:val="26"/>
              <w:keepNext w:val="0"/>
              <w:keepLines w:val="0"/>
              <w:pageBreakBefore w:val="0"/>
              <w:kinsoku/>
              <w:wordWrap/>
              <w:overflowPunct/>
              <w:topLinePunct w:val="0"/>
              <w:autoSpaceDE/>
              <w:autoSpaceDN/>
              <w:bidi w:val="0"/>
              <w:spacing w:line="460" w:lineRule="exact"/>
              <w:jc w:val="left"/>
              <w:textAlignment w:val="auto"/>
              <w:rPr>
                <w:rFonts w:hint="eastAsia" w:ascii="宋体" w:hAnsi="宋体" w:eastAsia="宋体" w:cs="宋体"/>
                <w:b/>
                <w:bCs/>
                <w:color w:val="auto"/>
                <w:kern w:val="0"/>
                <w:sz w:val="21"/>
                <w:szCs w:val="21"/>
                <w:lang w:val="en-US" w:eastAsia="zh-CN"/>
              </w:rPr>
            </w:pPr>
            <w:r>
              <w:rPr>
                <w:rFonts w:hint="eastAsia" w:ascii="宋体" w:hAnsi="宋体" w:eastAsia="宋体" w:cs="宋体"/>
                <w:b/>
                <w:bCs/>
                <w:color w:val="auto"/>
                <w:kern w:val="0"/>
                <w:sz w:val="21"/>
                <w:szCs w:val="21"/>
                <w:lang w:val="en-US" w:eastAsia="zh-CN"/>
              </w:rPr>
              <w:t>2025年3月7日9时00分</w:t>
            </w:r>
          </w:p>
        </w:tc>
      </w:tr>
      <w:tr w14:paraId="42E36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7" w:type="dxa"/>
            <w:gridSpan w:val="2"/>
            <w:noWrap w:val="0"/>
            <w:vAlign w:val="center"/>
          </w:tcPr>
          <w:p w14:paraId="0AF68540">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开标时间</w:t>
            </w:r>
          </w:p>
        </w:tc>
        <w:tc>
          <w:tcPr>
            <w:tcW w:w="7971" w:type="dxa"/>
            <w:gridSpan w:val="5"/>
            <w:noWrap w:val="0"/>
            <w:vAlign w:val="center"/>
          </w:tcPr>
          <w:p w14:paraId="200607A8">
            <w:pPr>
              <w:pStyle w:val="26"/>
              <w:keepNext w:val="0"/>
              <w:keepLines w:val="0"/>
              <w:pageBreakBefore w:val="0"/>
              <w:kinsoku/>
              <w:wordWrap/>
              <w:overflowPunct/>
              <w:topLinePunct w:val="0"/>
              <w:autoSpaceDE/>
              <w:autoSpaceDN/>
              <w:bidi w:val="0"/>
              <w:spacing w:line="460" w:lineRule="exact"/>
              <w:jc w:val="left"/>
              <w:textAlignment w:val="auto"/>
              <w:rPr>
                <w:rFonts w:hint="eastAsia" w:ascii="宋体" w:hAnsi="宋体" w:eastAsia="宋体" w:cs="宋体"/>
                <w:b/>
                <w:bCs/>
                <w:color w:val="auto"/>
                <w:kern w:val="0"/>
                <w:sz w:val="21"/>
                <w:szCs w:val="21"/>
                <w:lang w:val="en-US" w:eastAsia="zh-CN"/>
              </w:rPr>
            </w:pPr>
            <w:r>
              <w:rPr>
                <w:rFonts w:hint="eastAsia" w:ascii="宋体" w:hAnsi="宋体" w:eastAsia="宋体" w:cs="宋体"/>
                <w:b/>
                <w:bCs/>
                <w:color w:val="auto"/>
                <w:kern w:val="0"/>
                <w:sz w:val="21"/>
                <w:szCs w:val="21"/>
                <w:lang w:val="en-US" w:eastAsia="zh-CN"/>
              </w:rPr>
              <w:t>2025年3月7日9时00分</w:t>
            </w:r>
          </w:p>
        </w:tc>
      </w:tr>
      <w:tr w14:paraId="062FD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7" w:type="dxa"/>
            <w:gridSpan w:val="2"/>
            <w:noWrap w:val="0"/>
            <w:vAlign w:val="center"/>
          </w:tcPr>
          <w:p w14:paraId="72E6FFE1">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开标地点</w:t>
            </w:r>
          </w:p>
        </w:tc>
        <w:tc>
          <w:tcPr>
            <w:tcW w:w="7971" w:type="dxa"/>
            <w:gridSpan w:val="5"/>
            <w:noWrap w:val="0"/>
            <w:vAlign w:val="center"/>
          </w:tcPr>
          <w:p w14:paraId="68B5B564">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ascii="宋体" w:hAnsi="宋体" w:eastAsia="宋体" w:cs="宋体"/>
                <w:b/>
                <w:bCs/>
                <w:color w:val="auto"/>
                <w:kern w:val="1"/>
                <w:sz w:val="21"/>
                <w:szCs w:val="21"/>
                <w:highlight w:val="none"/>
                <w:lang w:val="en-US" w:eastAsia="zh-CN"/>
              </w:rPr>
            </w:pPr>
            <w:r>
              <w:rPr>
                <w:rFonts w:hint="eastAsia" w:ascii="宋体" w:hAnsi="宋体" w:eastAsia="宋体" w:cs="宋体"/>
                <w:b/>
                <w:bCs/>
                <w:color w:val="auto"/>
                <w:kern w:val="1"/>
                <w:sz w:val="21"/>
                <w:szCs w:val="21"/>
                <w:highlight w:val="none"/>
                <w:lang w:val="en-US" w:eastAsia="zh-CN"/>
              </w:rPr>
              <w:t>本项目仅接受加密电子投标文件</w:t>
            </w:r>
            <w:r>
              <w:rPr>
                <w:rFonts w:hint="eastAsia" w:ascii="宋体" w:hAnsi="宋体" w:cs="宋体"/>
                <w:b/>
                <w:bCs/>
                <w:color w:val="auto"/>
                <w:kern w:val="1"/>
                <w:sz w:val="21"/>
                <w:szCs w:val="21"/>
                <w:highlight w:val="none"/>
                <w:lang w:val="en-US" w:eastAsia="zh-CN"/>
              </w:rPr>
              <w:t>，</w:t>
            </w:r>
            <w:r>
              <w:rPr>
                <w:rFonts w:hint="eastAsia" w:ascii="宋体" w:hAnsi="宋体" w:eastAsia="宋体" w:cs="宋体"/>
                <w:b/>
                <w:bCs/>
                <w:color w:val="auto"/>
                <w:kern w:val="1"/>
                <w:sz w:val="21"/>
                <w:szCs w:val="21"/>
                <w:highlight w:val="none"/>
                <w:lang w:val="en-US" w:eastAsia="zh-CN"/>
              </w:rPr>
              <w:t>投标人在投标截止时间前通过新点电子交易平台后在【滁州专区】</w:t>
            </w:r>
          </w:p>
          <w:p w14:paraId="37A74761">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ascii="宋体" w:hAnsi="宋体" w:eastAsia="宋体" w:cs="宋体"/>
                <w:b/>
                <w:bCs/>
                <w:color w:val="auto"/>
                <w:kern w:val="1"/>
                <w:sz w:val="21"/>
                <w:szCs w:val="21"/>
                <w:highlight w:val="none"/>
                <w:lang w:val="en-US" w:eastAsia="zh-CN"/>
              </w:rPr>
            </w:pPr>
            <w:r>
              <w:rPr>
                <w:rFonts w:hint="eastAsia" w:ascii="宋体" w:hAnsi="宋体" w:eastAsia="宋体" w:cs="宋体"/>
                <w:b/>
                <w:bCs/>
                <w:color w:val="auto"/>
                <w:kern w:val="1"/>
                <w:sz w:val="21"/>
                <w:szCs w:val="21"/>
                <w:highlight w:val="none"/>
                <w:lang w:val="en-US" w:eastAsia="zh-CN"/>
              </w:rPr>
              <w:t xml:space="preserve">（https://www.etrading.cn/BREpointSSO/login/oauth2login?regioncode=DQ_ChuZhou）交易系统递交电子投标文件。   </w:t>
            </w:r>
          </w:p>
        </w:tc>
      </w:tr>
      <w:tr w14:paraId="4D17F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7" w:type="dxa"/>
            <w:gridSpan w:val="2"/>
            <w:noWrap w:val="0"/>
            <w:vAlign w:val="center"/>
          </w:tcPr>
          <w:p w14:paraId="7DE474A7">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招标文件售价</w:t>
            </w:r>
          </w:p>
        </w:tc>
        <w:tc>
          <w:tcPr>
            <w:tcW w:w="7971" w:type="dxa"/>
            <w:gridSpan w:val="5"/>
            <w:noWrap w:val="0"/>
            <w:vAlign w:val="center"/>
          </w:tcPr>
          <w:p w14:paraId="6C89272B">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ascii="宋体" w:hAnsi="宋体" w:eastAsia="宋体" w:cs="宋体"/>
                <w:bCs/>
                <w:color w:val="auto"/>
                <w:kern w:val="1"/>
                <w:sz w:val="21"/>
                <w:szCs w:val="21"/>
                <w:highlight w:val="none"/>
                <w:lang w:val="en-US" w:eastAsia="zh-CN"/>
              </w:rPr>
            </w:pPr>
            <w:r>
              <w:rPr>
                <w:rFonts w:hint="eastAsia" w:ascii="宋体" w:hAnsi="宋体" w:eastAsia="宋体" w:cs="宋体"/>
                <w:bCs/>
                <w:color w:val="auto"/>
                <w:kern w:val="1"/>
                <w:sz w:val="21"/>
                <w:szCs w:val="21"/>
                <w:highlight w:val="none"/>
                <w:lang w:val="en-US" w:eastAsia="zh-CN"/>
              </w:rPr>
              <w:t>0元</w:t>
            </w:r>
          </w:p>
        </w:tc>
      </w:tr>
      <w:tr w14:paraId="4BFAA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18" w:type="dxa"/>
            <w:gridSpan w:val="7"/>
            <w:noWrap w:val="0"/>
            <w:vAlign w:val="center"/>
          </w:tcPr>
          <w:p w14:paraId="35709136">
            <w:pPr>
              <w:keepNext w:val="0"/>
              <w:keepLines w:val="0"/>
              <w:pageBreakBefore w:val="0"/>
              <w:kinsoku/>
              <w:wordWrap/>
              <w:overflowPunct/>
              <w:topLinePunct w:val="0"/>
              <w:autoSpaceDE/>
              <w:autoSpaceDN/>
              <w:bidi w:val="0"/>
              <w:adjustRightInd w:val="0"/>
              <w:snapToGrid w:val="0"/>
              <w:spacing w:line="460" w:lineRule="exact"/>
              <w:jc w:val="center"/>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信  息  内  容</w:t>
            </w:r>
          </w:p>
        </w:tc>
      </w:tr>
      <w:tr w14:paraId="0FF84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2" w:type="dxa"/>
            <w:noWrap w:val="0"/>
            <w:vAlign w:val="center"/>
          </w:tcPr>
          <w:p w14:paraId="782D3A95">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评标办法</w:t>
            </w:r>
          </w:p>
        </w:tc>
        <w:tc>
          <w:tcPr>
            <w:tcW w:w="3126" w:type="dxa"/>
            <w:gridSpan w:val="3"/>
            <w:noWrap w:val="0"/>
            <w:vAlign w:val="center"/>
          </w:tcPr>
          <w:p w14:paraId="5C553701">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最低评标价法</w:t>
            </w:r>
          </w:p>
        </w:tc>
        <w:tc>
          <w:tcPr>
            <w:tcW w:w="2648" w:type="dxa"/>
            <w:gridSpan w:val="2"/>
            <w:noWrap w:val="0"/>
            <w:vAlign w:val="center"/>
          </w:tcPr>
          <w:p w14:paraId="3583A1F4">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工程款支付方式</w:t>
            </w:r>
          </w:p>
        </w:tc>
        <w:tc>
          <w:tcPr>
            <w:tcW w:w="2872" w:type="dxa"/>
            <w:noWrap w:val="0"/>
            <w:vAlign w:val="center"/>
          </w:tcPr>
          <w:p w14:paraId="34E079E8">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详见招标文件</w:t>
            </w:r>
          </w:p>
        </w:tc>
      </w:tr>
      <w:tr w14:paraId="6D700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2" w:type="dxa"/>
            <w:noWrap w:val="0"/>
            <w:vAlign w:val="center"/>
          </w:tcPr>
          <w:p w14:paraId="14FB6F85">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工程概算</w:t>
            </w:r>
          </w:p>
        </w:tc>
        <w:tc>
          <w:tcPr>
            <w:tcW w:w="3126" w:type="dxa"/>
            <w:gridSpan w:val="3"/>
            <w:noWrap w:val="0"/>
            <w:vAlign w:val="center"/>
          </w:tcPr>
          <w:p w14:paraId="3F09AB15">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投资估算约</w:t>
            </w:r>
            <w:r>
              <w:rPr>
                <w:rFonts w:hint="eastAsia" w:ascii="宋体" w:hAnsi="宋体" w:cs="宋体"/>
                <w:color w:val="auto"/>
                <w:kern w:val="0"/>
                <w:sz w:val="21"/>
                <w:szCs w:val="21"/>
                <w:highlight w:val="none"/>
                <w:lang w:eastAsia="zh-CN"/>
              </w:rPr>
              <w:t>945000.00元</w:t>
            </w:r>
          </w:p>
        </w:tc>
        <w:tc>
          <w:tcPr>
            <w:tcW w:w="2648" w:type="dxa"/>
            <w:gridSpan w:val="2"/>
            <w:noWrap w:val="0"/>
            <w:vAlign w:val="center"/>
          </w:tcPr>
          <w:p w14:paraId="34B19B6D">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计划工期</w:t>
            </w:r>
          </w:p>
        </w:tc>
        <w:tc>
          <w:tcPr>
            <w:tcW w:w="2872" w:type="dxa"/>
            <w:noWrap w:val="0"/>
            <w:vAlign w:val="center"/>
          </w:tcPr>
          <w:p w14:paraId="19C267EC">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详见招标文件</w:t>
            </w:r>
          </w:p>
        </w:tc>
      </w:tr>
      <w:tr w14:paraId="07AB0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2" w:type="dxa"/>
            <w:noWrap w:val="0"/>
            <w:vAlign w:val="center"/>
          </w:tcPr>
          <w:p w14:paraId="713E4A70">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资金来源</w:t>
            </w:r>
          </w:p>
        </w:tc>
        <w:tc>
          <w:tcPr>
            <w:tcW w:w="3119" w:type="dxa"/>
            <w:gridSpan w:val="2"/>
            <w:noWrap w:val="0"/>
            <w:vAlign w:val="center"/>
          </w:tcPr>
          <w:p w14:paraId="377A78D6">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自筹资金</w:t>
            </w:r>
          </w:p>
        </w:tc>
        <w:tc>
          <w:tcPr>
            <w:tcW w:w="2655" w:type="dxa"/>
            <w:gridSpan w:val="3"/>
            <w:noWrap w:val="0"/>
            <w:vAlign w:val="center"/>
          </w:tcPr>
          <w:p w14:paraId="0B756605">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招标文件等获取方式</w:t>
            </w:r>
          </w:p>
        </w:tc>
        <w:tc>
          <w:tcPr>
            <w:tcW w:w="2872" w:type="dxa"/>
            <w:noWrap w:val="0"/>
            <w:vAlign w:val="center"/>
          </w:tcPr>
          <w:p w14:paraId="35D2D05E">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网上下载</w:t>
            </w:r>
          </w:p>
        </w:tc>
      </w:tr>
      <w:tr w14:paraId="02B4D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10118" w:type="dxa"/>
            <w:gridSpan w:val="7"/>
            <w:noWrap w:val="0"/>
            <w:vAlign w:val="center"/>
          </w:tcPr>
          <w:p w14:paraId="3A36F7BD">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rPr>
            </w:pPr>
            <w:r>
              <w:rPr>
                <w:rFonts w:hint="eastAsia"/>
              </w:rPr>
              <w:t>1、是否要求投标人提交投标保证金：要求。</w:t>
            </w:r>
          </w:p>
          <w:p w14:paraId="74A11A3E">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rPr>
            </w:pPr>
            <w:r>
              <w:rPr>
                <w:rFonts w:hint="eastAsia"/>
              </w:rPr>
              <w:t>2、投标保证金缴纳要求：</w:t>
            </w:r>
          </w:p>
          <w:p w14:paraId="6735A583">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rPr>
            </w:pPr>
            <w:r>
              <w:rPr>
                <w:rFonts w:hint="eastAsia"/>
              </w:rPr>
              <w:t>投标保证金的形式：银行转账；投标保证金的金额：1.</w:t>
            </w:r>
            <w:r>
              <w:rPr>
                <w:rFonts w:hint="eastAsia"/>
                <w:lang w:val="en-US" w:eastAsia="zh-CN"/>
              </w:rPr>
              <w:t>8</w:t>
            </w:r>
            <w:r>
              <w:rPr>
                <w:rFonts w:hint="eastAsia"/>
              </w:rPr>
              <w:t xml:space="preserve">万元。 </w:t>
            </w:r>
          </w:p>
          <w:p w14:paraId="6FB54909">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rPr>
            </w:pPr>
            <w:r>
              <w:rPr>
                <w:rFonts w:hint="eastAsia"/>
              </w:rPr>
              <w:t>3、接收投标保证金的账户信息：</w:t>
            </w:r>
          </w:p>
          <w:p w14:paraId="04E26DDE">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rPr>
            </w:pPr>
            <w:r>
              <w:rPr>
                <w:rFonts w:hint="eastAsia"/>
              </w:rPr>
              <w:t>投标保证金须在投标截止时间前交纳完毕；投标保证金须从投标人账户转入以下账户，投标保证金付款人的账户名称必须与投标人名称一致，不接受汇票和结算卡汇入，以资金到账时间为确认保证金交纳完毕时间。</w:t>
            </w:r>
          </w:p>
          <w:p w14:paraId="3C1CC054">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rPr>
            </w:pPr>
            <w:r>
              <w:rPr>
                <w:rFonts w:hint="eastAsia"/>
              </w:rPr>
              <w:t xml:space="preserve">户  名：滁州市城投工程咨询管理有限公司 </w:t>
            </w:r>
          </w:p>
          <w:p w14:paraId="1100D3C8">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rPr>
            </w:pPr>
            <w:r>
              <w:rPr>
                <w:rFonts w:hint="eastAsia"/>
              </w:rPr>
              <w:t xml:space="preserve">开户行：中国银行滁州分行营业部 </w:t>
            </w:r>
          </w:p>
          <w:p w14:paraId="52B6103F">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rPr>
            </w:pPr>
            <w:r>
              <w:rPr>
                <w:rFonts w:hint="eastAsia"/>
              </w:rPr>
              <w:t xml:space="preserve">账  号：184256514737 </w:t>
            </w:r>
          </w:p>
          <w:p w14:paraId="6892B84E">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rPr>
            </w:pPr>
            <w:r>
              <w:rPr>
                <w:rFonts w:hint="eastAsia"/>
              </w:rPr>
              <w:t xml:space="preserve">保证金到账截止时间同投标文件递交截止时间，交纳保证金时须在交易附言中注明：“工投高新科技园项目14号厂房电力工程 （可简写）”投标保证金。 </w:t>
            </w:r>
          </w:p>
          <w:p w14:paraId="7D83D578">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ascii="宋体" w:hAnsi="宋体" w:eastAsia="宋体" w:cs="宋体"/>
                <w:bCs/>
                <w:color w:val="auto"/>
                <w:kern w:val="1"/>
                <w:sz w:val="21"/>
                <w:szCs w:val="21"/>
                <w:highlight w:val="none"/>
                <w:lang w:val="en-US" w:eastAsia="zh-CN"/>
              </w:rPr>
            </w:pPr>
            <w:r>
              <w:rPr>
                <w:rFonts w:hint="eastAsia"/>
              </w:rPr>
              <w:t>注：各投标人请严格按照招标公告和招标文件载明的银行、账户汇入投标保证金，否则在开标时将无法查询保证金是否到账，导致评标委员会否决其投标！</w:t>
            </w:r>
          </w:p>
        </w:tc>
      </w:tr>
      <w:tr w14:paraId="3F01B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23" w:type="dxa"/>
            <w:gridSpan w:val="5"/>
            <w:noWrap w:val="0"/>
            <w:vAlign w:val="center"/>
          </w:tcPr>
          <w:p w14:paraId="4C17213C">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eastAsia="宋体"/>
                <w:color w:val="auto"/>
                <w:lang w:eastAsia="zh-CN" w:bidi="ar"/>
              </w:rPr>
            </w:pPr>
            <w:r>
              <w:rPr>
                <w:rFonts w:hint="eastAsia" w:ascii="宋体" w:hAnsi="宋体" w:cs="宋体"/>
                <w:color w:val="auto"/>
                <w:szCs w:val="21"/>
              </w:rPr>
              <w:t>招标人名称</w:t>
            </w:r>
            <w:r>
              <w:rPr>
                <w:rFonts w:hint="eastAsia"/>
                <w:color w:val="auto"/>
                <w:lang w:bidi="ar"/>
              </w:rPr>
              <w:t>：</w:t>
            </w:r>
            <w:r>
              <w:rPr>
                <w:rFonts w:hint="eastAsia"/>
                <w:color w:val="auto"/>
                <w:lang w:eastAsia="zh-CN" w:bidi="ar"/>
              </w:rPr>
              <w:t>滁州工投高新科技园有限公司</w:t>
            </w:r>
          </w:p>
          <w:p w14:paraId="429E4C6D">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ascii="宋体" w:hAnsi="宋体" w:eastAsia="宋体" w:cs="宋体"/>
                <w:color w:val="auto"/>
                <w:lang w:eastAsia="zh-CN"/>
              </w:rPr>
            </w:pPr>
            <w:r>
              <w:rPr>
                <w:rFonts w:hint="eastAsia"/>
                <w:color w:val="auto"/>
                <w:lang w:bidi="ar"/>
              </w:rPr>
              <w:t>地址：</w:t>
            </w:r>
            <w:r>
              <w:rPr>
                <w:rFonts w:hint="eastAsia"/>
                <w:color w:val="auto"/>
                <w:lang w:eastAsia="zh-CN" w:bidi="ar"/>
              </w:rPr>
              <w:t>城投大厦</w:t>
            </w:r>
          </w:p>
          <w:p w14:paraId="5DFCC5FD">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default" w:eastAsia="宋体"/>
                <w:color w:val="auto"/>
                <w:lang w:val="en-US" w:eastAsia="zh-CN" w:bidi="ar"/>
              </w:rPr>
            </w:pPr>
            <w:r>
              <w:rPr>
                <w:rFonts w:hint="eastAsia"/>
                <w:color w:val="auto"/>
                <w:lang w:bidi="ar"/>
              </w:rPr>
              <w:t>联系人：</w:t>
            </w:r>
            <w:r>
              <w:rPr>
                <w:rFonts w:hint="eastAsia"/>
                <w:color w:val="auto"/>
                <w:lang w:val="en-US" w:eastAsia="zh-CN" w:bidi="ar"/>
              </w:rPr>
              <w:t xml:space="preserve"> 王昊</w:t>
            </w:r>
          </w:p>
          <w:p w14:paraId="38E8D794">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color w:val="auto"/>
                <w:lang w:val="en-US" w:eastAsia="zh-CN" w:bidi="ar"/>
              </w:rPr>
            </w:pPr>
            <w:r>
              <w:rPr>
                <w:rFonts w:hint="eastAsia"/>
                <w:color w:val="auto"/>
                <w:lang w:bidi="ar"/>
              </w:rPr>
              <w:t>联系方式：</w:t>
            </w:r>
            <w:r>
              <w:rPr>
                <w:rFonts w:hint="eastAsia"/>
                <w:color w:val="auto"/>
                <w:lang w:val="en-US" w:eastAsia="zh-CN" w:bidi="ar"/>
              </w:rPr>
              <w:t>0550-3990933</w:t>
            </w:r>
          </w:p>
          <w:p w14:paraId="3F9A7088">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bidi="ar"/>
              </w:rPr>
              <w:t>监督电话:0550-3017855</w:t>
            </w:r>
          </w:p>
        </w:tc>
        <w:tc>
          <w:tcPr>
            <w:tcW w:w="4995" w:type="dxa"/>
            <w:gridSpan w:val="2"/>
            <w:noWrap w:val="0"/>
            <w:vAlign w:val="center"/>
          </w:tcPr>
          <w:p w14:paraId="48F4CB69">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color w:val="auto"/>
                <w:lang w:bidi="ar"/>
              </w:rPr>
            </w:pPr>
            <w:r>
              <w:rPr>
                <w:rFonts w:hint="eastAsia" w:ascii="宋体" w:hAnsi="宋体" w:cs="宋体"/>
                <w:color w:val="auto"/>
                <w:szCs w:val="21"/>
              </w:rPr>
              <w:t>招标代理机构名称：滁州市城投</w:t>
            </w:r>
            <w:r>
              <w:rPr>
                <w:rFonts w:hint="eastAsia"/>
                <w:color w:val="auto"/>
                <w:lang w:bidi="ar"/>
              </w:rPr>
              <w:t xml:space="preserve">工程咨询管理有限公司 </w:t>
            </w:r>
          </w:p>
          <w:p w14:paraId="0AA3E3CC">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color w:val="auto"/>
                <w:lang w:bidi="ar"/>
              </w:rPr>
            </w:pPr>
            <w:r>
              <w:rPr>
                <w:rFonts w:hint="eastAsia"/>
                <w:color w:val="auto"/>
                <w:lang w:bidi="ar"/>
              </w:rPr>
              <w:t>地址： 滁州市龙蟠大道109号房产大厦6楼605室　</w:t>
            </w:r>
          </w:p>
          <w:p w14:paraId="3A75E16E">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default" w:ascii="宋体" w:hAnsi="宋体" w:eastAsia="宋体" w:cs="宋体"/>
                <w:color w:val="auto"/>
                <w:lang w:val="en-US" w:eastAsia="zh-CN" w:bidi="ar"/>
              </w:rPr>
            </w:pPr>
            <w:r>
              <w:rPr>
                <w:rFonts w:hint="eastAsia"/>
                <w:color w:val="auto"/>
                <w:lang w:bidi="ar"/>
              </w:rPr>
              <w:t>联系</w:t>
            </w:r>
            <w:r>
              <w:rPr>
                <w:rFonts w:hint="eastAsia" w:ascii="宋体" w:hAnsi="宋体" w:eastAsia="宋体" w:cs="宋体"/>
                <w:color w:val="auto"/>
                <w:lang w:bidi="ar"/>
              </w:rPr>
              <w:t>人：</w:t>
            </w:r>
            <w:r>
              <w:rPr>
                <w:rFonts w:hint="eastAsia" w:ascii="宋体" w:hAnsi="宋体" w:cs="宋体"/>
                <w:color w:val="auto"/>
                <w:lang w:val="en-US" w:eastAsia="zh-CN" w:bidi="ar"/>
              </w:rPr>
              <w:t>曹思敏</w:t>
            </w:r>
          </w:p>
          <w:p w14:paraId="65221D55">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lang w:bidi="ar"/>
              </w:rPr>
              <w:t>联系方式：</w:t>
            </w:r>
            <w:r>
              <w:rPr>
                <w:rFonts w:hint="eastAsia" w:ascii="宋体" w:hAnsi="宋体" w:cs="宋体"/>
                <w:color w:val="auto"/>
                <w:lang w:eastAsia="zh-CN" w:bidi="ar"/>
              </w:rPr>
              <w:t>0550-3519516、18712012204</w:t>
            </w:r>
          </w:p>
        </w:tc>
      </w:tr>
      <w:tr w14:paraId="17CCD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10118" w:type="dxa"/>
            <w:gridSpan w:val="7"/>
            <w:noWrap w:val="0"/>
            <w:vAlign w:val="center"/>
          </w:tcPr>
          <w:p w14:paraId="0DB935A9">
            <w:pPr>
              <w:keepNext w:val="0"/>
              <w:keepLines w:val="0"/>
              <w:pageBreakBefore w:val="0"/>
              <w:widowControl w:val="0"/>
              <w:kinsoku/>
              <w:wordWrap w:val="0"/>
              <w:overflowPunct/>
              <w:topLinePunct w:val="0"/>
              <w:autoSpaceDE/>
              <w:autoSpaceDN/>
              <w:bidi w:val="0"/>
              <w:adjustRightInd w:val="0"/>
              <w:snapToGrid w:val="0"/>
              <w:spacing w:line="460" w:lineRule="exact"/>
              <w:jc w:val="left"/>
              <w:textAlignment w:val="auto"/>
              <w:rPr>
                <w:rFonts w:hint="eastAsia"/>
                <w:color w:val="auto"/>
                <w:kern w:val="2"/>
                <w:sz w:val="21"/>
                <w:szCs w:val="24"/>
                <w:lang w:val="en-US" w:eastAsia="zh-CN" w:bidi="ar"/>
              </w:rPr>
            </w:pPr>
            <w:r>
              <w:rPr>
                <w:rFonts w:hint="eastAsia" w:ascii="宋体" w:hAnsi="宋体" w:eastAsia="宋体" w:cs="宋体"/>
                <w:color w:val="auto"/>
                <w:sz w:val="21"/>
                <w:szCs w:val="21"/>
                <w:highlight w:val="none"/>
                <w:lang w:bidi="ar"/>
              </w:rPr>
              <w:t>公告发布媒体：</w:t>
            </w:r>
            <w:r>
              <w:rPr>
                <w:rFonts w:hint="eastAsia" w:ascii="宋体" w:hAnsi="宋体" w:cs="宋体"/>
                <w:color w:val="auto"/>
                <w:sz w:val="21"/>
                <w:szCs w:val="21"/>
                <w:highlight w:val="none"/>
                <w:lang w:eastAsia="zh-CN" w:bidi="ar"/>
              </w:rPr>
              <w:t>滁州市扬子工业投资集团有限公司官网（https://czyzgtjt.com/)、中国扬子集团官网（http://www.yangzigroup.cn/）、</w:t>
            </w:r>
            <w:r>
              <w:rPr>
                <w:rFonts w:hint="eastAsia" w:ascii="宋体" w:hAnsi="宋体" w:cs="宋体"/>
                <w:color w:val="auto"/>
                <w:highlight w:val="none"/>
                <w:lang w:eastAsia="zh-CN"/>
              </w:rPr>
              <w:t>滁州市</w:t>
            </w:r>
            <w:r>
              <w:rPr>
                <w:rFonts w:hint="eastAsia" w:ascii="宋体" w:hAnsi="宋体" w:cs="宋体"/>
                <w:color w:val="auto"/>
                <w:highlight w:val="none"/>
                <w:lang w:val="en-US" w:eastAsia="zh-CN"/>
              </w:rPr>
              <w:t>城投工程咨询管理</w:t>
            </w:r>
            <w:r>
              <w:rPr>
                <w:rFonts w:hint="eastAsia" w:ascii="宋体" w:hAnsi="宋体" w:cs="宋体"/>
                <w:color w:val="auto"/>
                <w:highlight w:val="none"/>
                <w:lang w:eastAsia="zh-CN"/>
              </w:rPr>
              <w:t>有限责任公司</w:t>
            </w:r>
            <w:r>
              <w:rPr>
                <w:rFonts w:hint="eastAsia" w:ascii="宋体" w:hAnsi="宋体" w:cs="宋体"/>
                <w:color w:val="auto"/>
                <w:highlight w:val="none"/>
              </w:rPr>
              <w:t>网站（https://www.czctgczx.com/）</w:t>
            </w:r>
          </w:p>
        </w:tc>
      </w:tr>
      <w:tr w14:paraId="53F3A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10118" w:type="dxa"/>
            <w:gridSpan w:val="7"/>
            <w:shd w:val="clear" w:color="auto" w:fill="auto"/>
            <w:noWrap w:val="0"/>
            <w:vAlign w:val="center"/>
          </w:tcPr>
          <w:p w14:paraId="10559DE0">
            <w:pPr>
              <w:keepNext w:val="0"/>
              <w:keepLines w:val="0"/>
              <w:pageBreakBefore w:val="0"/>
              <w:kinsoku/>
              <w:wordWrap/>
              <w:overflowPunct/>
              <w:topLinePunct w:val="0"/>
              <w:autoSpaceDE/>
              <w:autoSpaceDN/>
              <w:bidi w:val="0"/>
              <w:adjustRightInd w:val="0"/>
              <w:snapToGrid w:val="0"/>
              <w:spacing w:line="440" w:lineRule="exact"/>
              <w:jc w:val="left"/>
              <w:textAlignment w:val="auto"/>
              <w:rPr>
                <w:rFonts w:hint="eastAsia" w:ascii="宋体" w:hAnsi="宋体" w:eastAsia="宋体" w:cs="宋体"/>
                <w:bCs/>
                <w:color w:val="auto"/>
                <w:kern w:val="2"/>
                <w:sz w:val="21"/>
                <w:szCs w:val="21"/>
                <w:highlight w:val="none"/>
                <w:lang w:val="en-US" w:eastAsia="zh-CN" w:bidi="ar-SA"/>
              </w:rPr>
            </w:pPr>
            <w:r>
              <w:rPr>
                <w:rFonts w:hint="eastAsia" w:ascii="宋体" w:hAnsi="宋体" w:eastAsia="宋体" w:cs="宋体"/>
                <w:b w:val="0"/>
                <w:bCs w:val="0"/>
                <w:color w:val="auto"/>
                <w:sz w:val="28"/>
                <w:szCs w:val="28"/>
                <w:highlight w:val="none"/>
                <w:lang w:val="en-US" w:eastAsia="zh-CN"/>
              </w:rPr>
              <w:t>本项目开评标实行全流程电子化，开标活动在线完成。开标时投标人无需到达开标现场，不接受现场解密，实行远程解密和在线询标。各投标人认真学习《新点电子交易平台投标人操作手册》，务必掌握远程解密方法和在线回复询标方法。</w:t>
            </w:r>
          </w:p>
        </w:tc>
      </w:tr>
    </w:tbl>
    <w:p w14:paraId="64E31DF3">
      <w:pPr>
        <w:jc w:val="center"/>
        <w:rPr>
          <w:rFonts w:hint="eastAsia" w:ascii="宋体" w:hAnsi="宋体" w:eastAsia="宋体" w:cs="宋体"/>
          <w:color w:val="auto"/>
          <w:sz w:val="32"/>
          <w:szCs w:val="32"/>
          <w:highlight w:val="none"/>
        </w:rPr>
      </w:pPr>
    </w:p>
    <w:p w14:paraId="547AC1A0">
      <w:pPr>
        <w:jc w:val="both"/>
        <w:rPr>
          <w:rFonts w:hint="eastAsia" w:ascii="宋体" w:hAnsi="宋体" w:eastAsia="宋体" w:cs="宋体"/>
          <w:color w:val="auto"/>
          <w:sz w:val="32"/>
          <w:szCs w:val="32"/>
          <w:highlight w:val="none"/>
        </w:rPr>
      </w:pPr>
    </w:p>
    <w:p w14:paraId="5E5641D3">
      <w:pPr>
        <w:jc w:val="center"/>
        <w:rPr>
          <w:rFonts w:hint="eastAsia" w:ascii="宋体" w:hAnsi="宋体" w:eastAsia="宋体" w:cs="宋体"/>
          <w:color w:val="auto"/>
          <w:sz w:val="32"/>
          <w:szCs w:val="32"/>
          <w:highlight w:val="none"/>
        </w:rPr>
      </w:pPr>
    </w:p>
    <w:p w14:paraId="129B910A">
      <w:pPr>
        <w:jc w:val="center"/>
        <w:rPr>
          <w:rFonts w:hint="eastAsia" w:ascii="宋体" w:hAnsi="宋体" w:eastAsia="宋体" w:cs="宋体"/>
          <w:color w:val="auto"/>
          <w:sz w:val="32"/>
          <w:szCs w:val="32"/>
          <w:highlight w:val="none"/>
        </w:rPr>
      </w:pPr>
    </w:p>
    <w:p w14:paraId="712727BA">
      <w:pPr>
        <w:jc w:val="center"/>
        <w:rPr>
          <w:rFonts w:hint="eastAsia" w:ascii="宋体" w:hAnsi="宋体" w:eastAsia="宋体" w:cs="宋体"/>
          <w:color w:val="auto"/>
          <w:sz w:val="32"/>
          <w:szCs w:val="32"/>
          <w:highlight w:val="none"/>
        </w:rPr>
      </w:pPr>
    </w:p>
    <w:p w14:paraId="0290EA4F">
      <w:pPr>
        <w:jc w:val="center"/>
        <w:rPr>
          <w:rFonts w:hint="eastAsia" w:ascii="宋体" w:hAnsi="宋体" w:eastAsia="宋体" w:cs="宋体"/>
          <w:color w:val="auto"/>
          <w:sz w:val="32"/>
          <w:szCs w:val="32"/>
          <w:highlight w:val="none"/>
        </w:rPr>
      </w:pPr>
    </w:p>
    <w:p w14:paraId="54B51A53">
      <w:pPr>
        <w:jc w:val="center"/>
        <w:rPr>
          <w:rFonts w:hint="eastAsia" w:ascii="宋体" w:hAnsi="宋体" w:eastAsia="宋体" w:cs="宋体"/>
          <w:color w:val="auto"/>
          <w:sz w:val="32"/>
          <w:szCs w:val="32"/>
          <w:highlight w:val="none"/>
        </w:rPr>
      </w:pPr>
    </w:p>
    <w:p w14:paraId="15EAF56A">
      <w:pPr>
        <w:jc w:val="center"/>
        <w:rPr>
          <w:rFonts w:hint="eastAsia" w:ascii="宋体" w:hAnsi="宋体" w:eastAsia="宋体" w:cs="宋体"/>
          <w:color w:val="auto"/>
          <w:sz w:val="32"/>
          <w:szCs w:val="32"/>
          <w:highlight w:val="none"/>
        </w:rPr>
      </w:pPr>
    </w:p>
    <w:p w14:paraId="4E6B0DC6">
      <w:pPr>
        <w:jc w:val="center"/>
        <w:rPr>
          <w:rFonts w:hint="eastAsia" w:ascii="宋体" w:hAnsi="宋体" w:eastAsia="宋体" w:cs="宋体"/>
          <w:color w:val="auto"/>
          <w:sz w:val="32"/>
          <w:szCs w:val="32"/>
          <w:highlight w:val="none"/>
        </w:rPr>
      </w:pPr>
    </w:p>
    <w:p w14:paraId="4168ED57">
      <w:pPr>
        <w:jc w:val="center"/>
        <w:rPr>
          <w:rFonts w:hint="eastAsia" w:ascii="宋体" w:hAnsi="宋体" w:eastAsia="宋体" w:cs="宋体"/>
          <w:color w:val="auto"/>
          <w:sz w:val="32"/>
          <w:szCs w:val="32"/>
          <w:highlight w:val="none"/>
        </w:rPr>
      </w:pPr>
    </w:p>
    <w:p w14:paraId="2F64BF96">
      <w:pPr>
        <w:jc w:val="center"/>
        <w:rPr>
          <w:rFonts w:hint="eastAsia" w:ascii="宋体" w:hAnsi="宋体" w:eastAsia="宋体" w:cs="宋体"/>
          <w:color w:val="auto"/>
          <w:sz w:val="32"/>
          <w:szCs w:val="32"/>
          <w:highlight w:val="none"/>
        </w:rPr>
      </w:pPr>
    </w:p>
    <w:p w14:paraId="66259C57">
      <w:pPr>
        <w:jc w:val="center"/>
        <w:rPr>
          <w:rFonts w:hint="eastAsia" w:ascii="宋体" w:hAnsi="宋体" w:eastAsia="宋体" w:cs="宋体"/>
          <w:color w:val="auto"/>
          <w:sz w:val="32"/>
          <w:szCs w:val="32"/>
          <w:highlight w:val="none"/>
        </w:rPr>
      </w:pPr>
    </w:p>
    <w:p w14:paraId="28B62AAC">
      <w:pPr>
        <w:jc w:val="center"/>
        <w:rPr>
          <w:rFonts w:hint="eastAsia" w:ascii="宋体" w:hAnsi="宋体" w:eastAsia="宋体" w:cs="宋体"/>
          <w:color w:val="auto"/>
          <w:sz w:val="32"/>
          <w:szCs w:val="32"/>
          <w:highlight w:val="none"/>
        </w:rPr>
      </w:pPr>
    </w:p>
    <w:p w14:paraId="75BE00E2">
      <w:pPr>
        <w:jc w:val="center"/>
        <w:rPr>
          <w:rFonts w:hint="eastAsia" w:ascii="宋体" w:hAnsi="宋体" w:eastAsia="宋体" w:cs="宋体"/>
          <w:color w:val="auto"/>
          <w:sz w:val="32"/>
          <w:szCs w:val="32"/>
          <w:highlight w:val="none"/>
        </w:rPr>
      </w:pPr>
    </w:p>
    <w:p w14:paraId="241F75F5">
      <w:pPr>
        <w:jc w:val="center"/>
        <w:rPr>
          <w:rFonts w:hint="eastAsia" w:ascii="宋体" w:hAnsi="宋体" w:eastAsia="宋体" w:cs="宋体"/>
          <w:color w:val="auto"/>
          <w:sz w:val="32"/>
          <w:szCs w:val="32"/>
          <w:highlight w:val="none"/>
        </w:rPr>
      </w:pPr>
    </w:p>
    <w:p w14:paraId="5C20224F">
      <w:pPr>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A、投标须知前附表</w:t>
      </w:r>
    </w:p>
    <w:tbl>
      <w:tblPr>
        <w:tblStyle w:val="49"/>
        <w:tblW w:w="10260" w:type="dxa"/>
        <w:tblInd w:w="-540" w:type="dxa"/>
        <w:tblLayout w:type="fixed"/>
        <w:tblCellMar>
          <w:top w:w="0" w:type="dxa"/>
          <w:left w:w="0" w:type="dxa"/>
          <w:bottom w:w="0" w:type="dxa"/>
          <w:right w:w="0" w:type="dxa"/>
        </w:tblCellMar>
      </w:tblPr>
      <w:tblGrid>
        <w:gridCol w:w="563"/>
        <w:gridCol w:w="1185"/>
        <w:gridCol w:w="8512"/>
      </w:tblGrid>
      <w:tr w14:paraId="13495E28">
        <w:tblPrEx>
          <w:tblCellMar>
            <w:top w:w="0" w:type="dxa"/>
            <w:left w:w="0" w:type="dxa"/>
            <w:bottom w:w="0" w:type="dxa"/>
            <w:right w:w="0" w:type="dxa"/>
          </w:tblCellMar>
        </w:tblPrEx>
        <w:trPr>
          <w:trHeight w:val="276" w:hRule="atLeast"/>
        </w:trPr>
        <w:tc>
          <w:tcPr>
            <w:tcW w:w="563" w:type="dxa"/>
            <w:tcBorders>
              <w:top w:val="single" w:color="auto" w:sz="8" w:space="0"/>
              <w:left w:val="single" w:color="auto" w:sz="8" w:space="0"/>
              <w:bottom w:val="single" w:color="auto" w:sz="8" w:space="0"/>
              <w:right w:val="single" w:color="auto" w:sz="8" w:space="0"/>
            </w:tcBorders>
            <w:noWrap w:val="0"/>
            <w:vAlign w:val="center"/>
          </w:tcPr>
          <w:p w14:paraId="4C28B45B">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rPr>
            </w:pPr>
            <w:bookmarkStart w:id="1" w:name="_Toc25340"/>
            <w:r>
              <w:rPr>
                <w:rFonts w:hint="eastAsia" w:ascii="宋体" w:hAnsi="宋体" w:eastAsia="宋体" w:cs="宋体"/>
                <w:color w:val="auto"/>
                <w:kern w:val="0"/>
                <w:sz w:val="24"/>
              </w:rPr>
              <w:t>编号</w:t>
            </w:r>
          </w:p>
        </w:tc>
        <w:tc>
          <w:tcPr>
            <w:tcW w:w="1185" w:type="dxa"/>
            <w:tcBorders>
              <w:top w:val="single" w:color="auto" w:sz="8" w:space="0"/>
              <w:left w:val="single" w:color="auto" w:sz="4" w:space="0"/>
              <w:bottom w:val="single" w:color="auto" w:sz="8" w:space="0"/>
              <w:right w:val="single" w:color="auto" w:sz="4" w:space="0"/>
            </w:tcBorders>
            <w:noWrap w:val="0"/>
            <w:vAlign w:val="center"/>
          </w:tcPr>
          <w:p w14:paraId="1D07124C">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rPr>
            </w:pPr>
            <w:r>
              <w:rPr>
                <w:rFonts w:hint="eastAsia" w:ascii="宋体" w:hAnsi="宋体" w:eastAsia="宋体" w:cs="宋体"/>
                <w:color w:val="auto"/>
                <w:kern w:val="0"/>
                <w:sz w:val="24"/>
              </w:rPr>
              <w:t>内容</w:t>
            </w:r>
          </w:p>
        </w:tc>
        <w:tc>
          <w:tcPr>
            <w:tcW w:w="8512" w:type="dxa"/>
            <w:tcBorders>
              <w:top w:val="single" w:color="auto" w:sz="8" w:space="0"/>
              <w:left w:val="single" w:color="auto" w:sz="4" w:space="0"/>
              <w:bottom w:val="single" w:color="auto" w:sz="8" w:space="0"/>
              <w:right w:val="single" w:color="auto" w:sz="8" w:space="0"/>
            </w:tcBorders>
            <w:noWrap w:val="0"/>
            <w:vAlign w:val="center"/>
          </w:tcPr>
          <w:p w14:paraId="65081A33">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rPr>
            </w:pPr>
            <w:r>
              <w:rPr>
                <w:rFonts w:hint="eastAsia" w:ascii="宋体" w:hAnsi="宋体" w:eastAsia="宋体" w:cs="宋体"/>
                <w:color w:val="auto"/>
                <w:kern w:val="0"/>
                <w:sz w:val="24"/>
              </w:rPr>
              <w:t>说明与要求</w:t>
            </w:r>
          </w:p>
        </w:tc>
      </w:tr>
      <w:tr w14:paraId="183C631F">
        <w:tblPrEx>
          <w:tblCellMar>
            <w:top w:w="0" w:type="dxa"/>
            <w:left w:w="0" w:type="dxa"/>
            <w:bottom w:w="0" w:type="dxa"/>
            <w:right w:w="0" w:type="dxa"/>
          </w:tblCellMar>
        </w:tblPrEx>
        <w:trPr>
          <w:trHeight w:val="90" w:hRule="atLeast"/>
        </w:trPr>
        <w:tc>
          <w:tcPr>
            <w:tcW w:w="563" w:type="dxa"/>
            <w:tcBorders>
              <w:top w:val="single" w:color="auto" w:sz="8" w:space="0"/>
              <w:left w:val="single" w:color="auto" w:sz="8" w:space="0"/>
              <w:bottom w:val="single" w:color="auto" w:sz="8" w:space="0"/>
              <w:right w:val="single" w:color="auto" w:sz="8" w:space="0"/>
            </w:tcBorders>
            <w:noWrap w:val="0"/>
            <w:vAlign w:val="center"/>
          </w:tcPr>
          <w:p w14:paraId="3FBB8AE8">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rPr>
            </w:pPr>
            <w:r>
              <w:rPr>
                <w:rFonts w:hint="eastAsia" w:ascii="宋体" w:hAnsi="宋体" w:eastAsia="宋体" w:cs="宋体"/>
                <w:color w:val="000000"/>
                <w:kern w:val="0"/>
              </w:rPr>
              <w:t>1</w:t>
            </w:r>
          </w:p>
        </w:tc>
        <w:tc>
          <w:tcPr>
            <w:tcW w:w="1185" w:type="dxa"/>
            <w:tcBorders>
              <w:top w:val="single" w:color="auto" w:sz="8" w:space="0"/>
              <w:left w:val="single" w:color="auto" w:sz="4" w:space="0"/>
              <w:bottom w:val="single" w:color="auto" w:sz="8" w:space="0"/>
              <w:right w:val="single" w:color="auto" w:sz="4" w:space="0"/>
            </w:tcBorders>
            <w:noWrap w:val="0"/>
            <w:vAlign w:val="center"/>
          </w:tcPr>
          <w:p w14:paraId="02BD5DB9">
            <w:pPr>
              <w:keepNext w:val="0"/>
              <w:keepLines w:val="0"/>
              <w:pageBreakBefore w:val="0"/>
              <w:kinsoku/>
              <w:wordWrap/>
              <w:overflowPunct/>
              <w:topLinePunct w:val="0"/>
              <w:autoSpaceDE/>
              <w:autoSpaceDN/>
              <w:bidi w:val="0"/>
              <w:adjustRightInd/>
              <w:snapToGrid/>
              <w:spacing w:line="350" w:lineRule="exact"/>
              <w:jc w:val="center"/>
              <w:textAlignment w:val="auto"/>
              <w:rPr>
                <w:rFonts w:hint="eastAsia" w:ascii="宋体" w:hAnsi="宋体" w:eastAsia="宋体" w:cs="宋体"/>
                <w:color w:val="auto"/>
                <w:kern w:val="0"/>
              </w:rPr>
            </w:pPr>
            <w:r>
              <w:rPr>
                <w:rFonts w:hint="eastAsia" w:ascii="宋体" w:hAnsi="宋体" w:eastAsia="宋体" w:cs="宋体"/>
                <w:color w:val="auto"/>
                <w:kern w:val="0"/>
                <w:lang w:val="en-US" w:eastAsia="zh-CN"/>
              </w:rPr>
              <w:t>项目</w:t>
            </w:r>
            <w:r>
              <w:rPr>
                <w:rFonts w:hint="eastAsia" w:ascii="宋体" w:hAnsi="宋体" w:eastAsia="宋体" w:cs="宋体"/>
                <w:color w:val="auto"/>
                <w:kern w:val="0"/>
              </w:rPr>
              <w:t>概况</w:t>
            </w:r>
          </w:p>
        </w:tc>
        <w:tc>
          <w:tcPr>
            <w:tcW w:w="8512" w:type="dxa"/>
            <w:tcBorders>
              <w:top w:val="single" w:color="auto" w:sz="8" w:space="0"/>
              <w:left w:val="single" w:color="auto" w:sz="4" w:space="0"/>
              <w:bottom w:val="single" w:color="auto" w:sz="8" w:space="0"/>
              <w:right w:val="single" w:color="auto" w:sz="8" w:space="0"/>
            </w:tcBorders>
            <w:noWrap w:val="0"/>
            <w:vAlign w:val="center"/>
          </w:tcPr>
          <w:p w14:paraId="313587E3">
            <w:pPr>
              <w:keepNext w:val="0"/>
              <w:keepLines w:val="0"/>
              <w:pageBreakBefore w:val="0"/>
              <w:kinsoku/>
              <w:wordWrap/>
              <w:overflowPunct/>
              <w:topLinePunct w:val="0"/>
              <w:autoSpaceDE/>
              <w:autoSpaceDN/>
              <w:bidi w:val="0"/>
              <w:adjustRightInd/>
              <w:snapToGrid/>
              <w:spacing w:line="350" w:lineRule="exact"/>
              <w:textAlignment w:val="auto"/>
              <w:rPr>
                <w:rFonts w:hint="eastAsia" w:ascii="宋体" w:hAnsi="宋体" w:eastAsia="宋体" w:cs="宋体"/>
                <w:color w:val="auto"/>
                <w:spacing w:val="0"/>
                <w:sz w:val="21"/>
                <w:szCs w:val="21"/>
                <w:lang w:eastAsia="zh-CN"/>
              </w:rPr>
            </w:pPr>
            <w:r>
              <w:rPr>
                <w:rFonts w:hint="eastAsia" w:ascii="宋体" w:hAnsi="宋体" w:eastAsia="宋体" w:cs="宋体"/>
                <w:color w:val="auto"/>
                <w:spacing w:val="0"/>
                <w:kern w:val="0"/>
                <w:sz w:val="21"/>
                <w:lang w:val="en-US" w:eastAsia="zh-CN"/>
              </w:rPr>
              <w:t>项目</w:t>
            </w:r>
            <w:r>
              <w:rPr>
                <w:rFonts w:hint="eastAsia" w:ascii="宋体" w:hAnsi="宋体" w:eastAsia="宋体" w:cs="宋体"/>
                <w:color w:val="auto"/>
                <w:spacing w:val="0"/>
                <w:kern w:val="0"/>
                <w:sz w:val="21"/>
              </w:rPr>
              <w:t>名称：</w:t>
            </w:r>
            <w:r>
              <w:rPr>
                <w:rFonts w:hint="eastAsia" w:ascii="宋体" w:hAnsi="宋体" w:cs="宋体"/>
                <w:bCs/>
                <w:color w:val="auto"/>
                <w:kern w:val="1"/>
                <w:sz w:val="21"/>
                <w:szCs w:val="21"/>
                <w:highlight w:val="none"/>
                <w:lang w:val="en-US" w:eastAsia="zh-CN"/>
              </w:rPr>
              <w:t>工投高新科技园项目14号厂房电力工程</w:t>
            </w:r>
            <w:r>
              <w:rPr>
                <w:rFonts w:hint="default" w:ascii="宋体" w:hAnsi="宋体" w:eastAsia="宋体" w:cs="宋体"/>
                <w:bCs/>
                <w:color w:val="auto"/>
                <w:kern w:val="1"/>
                <w:sz w:val="21"/>
                <w:szCs w:val="21"/>
                <w:highlight w:val="none"/>
                <w:lang w:val="en-US" w:eastAsia="zh-CN"/>
              </w:rPr>
              <w:t xml:space="preserve"> </w:t>
            </w:r>
          </w:p>
          <w:p w14:paraId="653BC884">
            <w:pPr>
              <w:keepNext w:val="0"/>
              <w:keepLines w:val="0"/>
              <w:pageBreakBefore w:val="0"/>
              <w:kinsoku/>
              <w:wordWrap/>
              <w:overflowPunct/>
              <w:topLinePunct w:val="0"/>
              <w:autoSpaceDE/>
              <w:autoSpaceDN/>
              <w:bidi w:val="0"/>
              <w:adjustRightInd/>
              <w:snapToGrid/>
              <w:spacing w:line="350" w:lineRule="exact"/>
              <w:textAlignment w:val="auto"/>
              <w:rPr>
                <w:rFonts w:hint="default" w:ascii="宋体" w:hAnsi="宋体" w:eastAsia="宋体" w:cs="宋体"/>
                <w:color w:val="auto"/>
                <w:kern w:val="0"/>
                <w:lang w:val="en-US"/>
              </w:rPr>
            </w:pPr>
            <w:r>
              <w:rPr>
                <w:rFonts w:hint="eastAsia" w:ascii="宋体" w:hAnsi="宋体" w:eastAsia="宋体" w:cs="宋体"/>
                <w:color w:val="auto"/>
                <w:kern w:val="0"/>
              </w:rPr>
              <w:t>项目地点：</w:t>
            </w:r>
            <w:r>
              <w:rPr>
                <w:rFonts w:hint="eastAsia" w:ascii="宋体" w:hAnsi="宋体" w:eastAsia="宋体" w:cs="宋体"/>
                <w:color w:val="auto"/>
                <w:kern w:val="0"/>
                <w:lang w:eastAsia="zh-CN"/>
              </w:rPr>
              <w:t>滁州市</w:t>
            </w:r>
            <w:r>
              <w:rPr>
                <w:rFonts w:hint="eastAsia" w:ascii="宋体" w:hAnsi="宋体" w:eastAsia="宋体" w:cs="宋体"/>
                <w:color w:val="auto"/>
                <w:kern w:val="0"/>
                <w:lang w:val="en-US" w:eastAsia="zh-CN"/>
              </w:rPr>
              <w:t>内</w:t>
            </w:r>
          </w:p>
          <w:p w14:paraId="205EB6DE">
            <w:pPr>
              <w:keepNext w:val="0"/>
              <w:keepLines w:val="0"/>
              <w:pageBreakBefore w:val="0"/>
              <w:kinsoku/>
              <w:wordWrap/>
              <w:overflowPunct/>
              <w:topLinePunct w:val="0"/>
              <w:autoSpaceDE/>
              <w:autoSpaceDN/>
              <w:bidi w:val="0"/>
              <w:adjustRightInd/>
              <w:snapToGrid/>
              <w:spacing w:line="350" w:lineRule="exact"/>
              <w:textAlignment w:val="auto"/>
              <w:rPr>
                <w:rFonts w:hint="eastAsia" w:ascii="宋体" w:hAnsi="宋体" w:eastAsia="宋体" w:cs="宋体"/>
                <w:color w:val="auto"/>
                <w:szCs w:val="21"/>
              </w:rPr>
            </w:pPr>
            <w:r>
              <w:rPr>
                <w:rFonts w:hint="eastAsia" w:ascii="宋体" w:hAnsi="宋体" w:cs="宋体"/>
                <w:color w:val="auto"/>
                <w:kern w:val="0"/>
                <w:lang w:val="en-US" w:eastAsia="zh-CN"/>
              </w:rPr>
              <w:t>招标</w:t>
            </w:r>
            <w:r>
              <w:rPr>
                <w:rFonts w:hint="eastAsia" w:ascii="宋体" w:hAnsi="宋体" w:eastAsia="宋体" w:cs="宋体"/>
                <w:color w:val="auto"/>
                <w:kern w:val="0"/>
              </w:rPr>
              <w:t xml:space="preserve">内容如下：14号厂房采购一台3000KVA变压器及240型号电缆进行使用，电缆长度约为512米 </w:t>
            </w:r>
            <w:r>
              <w:rPr>
                <w:rFonts w:hint="eastAsia" w:ascii="宋体" w:hAnsi="宋体" w:eastAsia="宋体" w:cs="宋体"/>
                <w:color w:val="auto"/>
                <w:kern w:val="0"/>
                <w:sz w:val="21"/>
                <w:szCs w:val="21"/>
                <w:lang w:val="en-US" w:eastAsia="zh-CN"/>
              </w:rPr>
              <w:t>。</w:t>
            </w:r>
          </w:p>
        </w:tc>
      </w:tr>
      <w:tr w14:paraId="752A6750">
        <w:tblPrEx>
          <w:tblCellMar>
            <w:top w:w="0" w:type="dxa"/>
            <w:left w:w="0" w:type="dxa"/>
            <w:bottom w:w="0" w:type="dxa"/>
            <w:right w:w="0" w:type="dxa"/>
          </w:tblCellMar>
        </w:tblPrEx>
        <w:trPr>
          <w:trHeight w:val="190" w:hRule="atLeast"/>
        </w:trPr>
        <w:tc>
          <w:tcPr>
            <w:tcW w:w="563" w:type="dxa"/>
            <w:tcBorders>
              <w:top w:val="single" w:color="auto" w:sz="8" w:space="0"/>
              <w:left w:val="single" w:color="auto" w:sz="8" w:space="0"/>
              <w:bottom w:val="single" w:color="auto" w:sz="8" w:space="0"/>
              <w:right w:val="single" w:color="auto" w:sz="8" w:space="0"/>
            </w:tcBorders>
            <w:noWrap w:val="0"/>
            <w:vAlign w:val="center"/>
          </w:tcPr>
          <w:p w14:paraId="10F0FED1">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rPr>
            </w:pPr>
            <w:r>
              <w:rPr>
                <w:rFonts w:hint="eastAsia" w:ascii="宋体" w:hAnsi="宋体" w:eastAsia="宋体" w:cs="宋体"/>
                <w:color w:val="000000"/>
                <w:kern w:val="0"/>
              </w:rPr>
              <w:t>2</w:t>
            </w:r>
          </w:p>
        </w:tc>
        <w:tc>
          <w:tcPr>
            <w:tcW w:w="1185" w:type="dxa"/>
            <w:tcBorders>
              <w:top w:val="single" w:color="auto" w:sz="8" w:space="0"/>
              <w:left w:val="single" w:color="auto" w:sz="4" w:space="0"/>
              <w:bottom w:val="single" w:color="auto" w:sz="8" w:space="0"/>
              <w:right w:val="single" w:color="auto" w:sz="4" w:space="0"/>
            </w:tcBorders>
            <w:noWrap w:val="0"/>
            <w:vAlign w:val="center"/>
          </w:tcPr>
          <w:p w14:paraId="7E7211DA">
            <w:pPr>
              <w:keepNext w:val="0"/>
              <w:keepLines w:val="0"/>
              <w:pageBreakBefore w:val="0"/>
              <w:kinsoku/>
              <w:wordWrap/>
              <w:overflowPunct/>
              <w:topLinePunct w:val="0"/>
              <w:autoSpaceDE/>
              <w:autoSpaceDN/>
              <w:bidi w:val="0"/>
              <w:adjustRightInd/>
              <w:snapToGrid/>
              <w:spacing w:line="350" w:lineRule="exact"/>
              <w:jc w:val="center"/>
              <w:textAlignment w:val="auto"/>
              <w:rPr>
                <w:rFonts w:hint="eastAsia" w:ascii="宋体" w:hAnsi="宋体" w:eastAsia="宋体" w:cs="宋体"/>
                <w:color w:val="auto"/>
                <w:kern w:val="0"/>
              </w:rPr>
            </w:pPr>
            <w:r>
              <w:rPr>
                <w:rFonts w:hint="eastAsia" w:ascii="宋体" w:hAnsi="宋体" w:eastAsia="宋体" w:cs="宋体"/>
                <w:color w:val="auto"/>
                <w:kern w:val="0"/>
              </w:rPr>
              <w:t>招标范围</w:t>
            </w:r>
          </w:p>
        </w:tc>
        <w:tc>
          <w:tcPr>
            <w:tcW w:w="8512" w:type="dxa"/>
            <w:tcBorders>
              <w:top w:val="single" w:color="auto" w:sz="8" w:space="0"/>
              <w:left w:val="single" w:color="auto" w:sz="4" w:space="0"/>
              <w:bottom w:val="single" w:color="auto" w:sz="8" w:space="0"/>
              <w:right w:val="single" w:color="auto" w:sz="8" w:space="0"/>
            </w:tcBorders>
            <w:noWrap w:val="0"/>
            <w:vAlign w:val="center"/>
          </w:tcPr>
          <w:p w14:paraId="6C91C028">
            <w:pPr>
              <w:keepNext w:val="0"/>
              <w:keepLines w:val="0"/>
              <w:pageBreakBefore w:val="0"/>
              <w:kinsoku/>
              <w:wordWrap/>
              <w:overflowPunct/>
              <w:topLinePunct w:val="0"/>
              <w:autoSpaceDE/>
              <w:autoSpaceDN/>
              <w:bidi w:val="0"/>
              <w:adjustRightInd/>
              <w:snapToGrid/>
              <w:spacing w:line="350" w:lineRule="exact"/>
              <w:textAlignment w:val="auto"/>
              <w:rPr>
                <w:rFonts w:hint="default" w:ascii="宋体" w:hAnsi="宋体" w:eastAsia="宋体" w:cs="宋体"/>
                <w:color w:val="auto"/>
                <w:kern w:val="0"/>
                <w:lang w:val="en-US" w:eastAsia="zh-CN"/>
              </w:rPr>
            </w:pPr>
            <w:r>
              <w:rPr>
                <w:rFonts w:hint="eastAsia" w:ascii="宋体" w:hAnsi="宋体" w:eastAsia="宋体" w:cs="宋体"/>
                <w:color w:val="auto"/>
                <w:kern w:val="0"/>
                <w:sz w:val="21"/>
                <w:szCs w:val="21"/>
                <w:lang w:val="en-US" w:eastAsia="zh-CN"/>
              </w:rPr>
              <w:t>变压器及电缆采购</w:t>
            </w:r>
            <w:r>
              <w:rPr>
                <w:rFonts w:hint="eastAsia" w:hAnsi="宋体" w:cs="宋体"/>
                <w:color w:val="auto"/>
                <w:kern w:val="0"/>
                <w:sz w:val="21"/>
                <w:szCs w:val="21"/>
                <w:lang w:val="en-US" w:eastAsia="zh-CN"/>
              </w:rPr>
              <w:t>及安装</w:t>
            </w:r>
            <w:r>
              <w:rPr>
                <w:rFonts w:hint="eastAsia" w:ascii="宋体" w:hAnsi="宋体" w:eastAsia="宋体" w:cs="宋体"/>
                <w:color w:val="auto"/>
                <w:kern w:val="0"/>
                <w:lang w:val="en-US" w:eastAsia="zh-CN"/>
              </w:rPr>
              <w:t>。</w:t>
            </w:r>
          </w:p>
        </w:tc>
      </w:tr>
      <w:tr w14:paraId="1D0B9905">
        <w:tblPrEx>
          <w:tblCellMar>
            <w:top w:w="0" w:type="dxa"/>
            <w:left w:w="0" w:type="dxa"/>
            <w:bottom w:w="0" w:type="dxa"/>
            <w:right w:w="0" w:type="dxa"/>
          </w:tblCellMar>
        </w:tblPrEx>
        <w:trPr>
          <w:trHeight w:val="229" w:hRule="atLeast"/>
        </w:trPr>
        <w:tc>
          <w:tcPr>
            <w:tcW w:w="563" w:type="dxa"/>
            <w:tcBorders>
              <w:top w:val="single" w:color="auto" w:sz="8" w:space="0"/>
              <w:left w:val="single" w:color="auto" w:sz="8" w:space="0"/>
              <w:bottom w:val="single" w:color="auto" w:sz="8" w:space="0"/>
              <w:right w:val="single" w:color="auto" w:sz="8" w:space="0"/>
            </w:tcBorders>
            <w:noWrap w:val="0"/>
            <w:vAlign w:val="center"/>
          </w:tcPr>
          <w:p w14:paraId="6F0706DA">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rPr>
            </w:pPr>
            <w:r>
              <w:rPr>
                <w:rFonts w:hint="eastAsia" w:ascii="宋体" w:hAnsi="宋体" w:eastAsia="宋体" w:cs="宋体"/>
                <w:color w:val="000000"/>
                <w:kern w:val="0"/>
              </w:rPr>
              <w:t>3</w:t>
            </w:r>
          </w:p>
        </w:tc>
        <w:tc>
          <w:tcPr>
            <w:tcW w:w="1185" w:type="dxa"/>
            <w:tcBorders>
              <w:top w:val="single" w:color="auto" w:sz="8" w:space="0"/>
              <w:left w:val="single" w:color="auto" w:sz="4" w:space="0"/>
              <w:bottom w:val="single" w:color="auto" w:sz="8" w:space="0"/>
              <w:right w:val="single" w:color="auto" w:sz="4" w:space="0"/>
            </w:tcBorders>
            <w:noWrap w:val="0"/>
            <w:vAlign w:val="center"/>
          </w:tcPr>
          <w:p w14:paraId="3653F232">
            <w:pPr>
              <w:keepNext w:val="0"/>
              <w:keepLines w:val="0"/>
              <w:pageBreakBefore w:val="0"/>
              <w:kinsoku/>
              <w:wordWrap/>
              <w:overflowPunct/>
              <w:topLinePunct w:val="0"/>
              <w:autoSpaceDE/>
              <w:autoSpaceDN/>
              <w:bidi w:val="0"/>
              <w:adjustRightInd/>
              <w:snapToGrid/>
              <w:spacing w:line="350" w:lineRule="exact"/>
              <w:jc w:val="center"/>
              <w:textAlignment w:val="auto"/>
              <w:rPr>
                <w:rFonts w:hint="eastAsia" w:ascii="宋体" w:hAnsi="宋体" w:eastAsia="宋体" w:cs="宋体"/>
                <w:color w:val="auto"/>
                <w:kern w:val="0"/>
              </w:rPr>
            </w:pPr>
            <w:r>
              <w:rPr>
                <w:rFonts w:hint="eastAsia" w:ascii="宋体" w:hAnsi="宋体" w:eastAsia="宋体" w:cs="宋体"/>
                <w:color w:val="auto"/>
                <w:kern w:val="0"/>
                <w:highlight w:val="none"/>
              </w:rPr>
              <w:t>工期要求</w:t>
            </w:r>
          </w:p>
        </w:tc>
        <w:tc>
          <w:tcPr>
            <w:tcW w:w="8512" w:type="dxa"/>
            <w:tcBorders>
              <w:top w:val="single" w:color="auto" w:sz="8" w:space="0"/>
              <w:left w:val="single" w:color="auto" w:sz="4" w:space="0"/>
              <w:bottom w:val="single" w:color="auto" w:sz="8" w:space="0"/>
              <w:right w:val="single" w:color="auto" w:sz="8" w:space="0"/>
            </w:tcBorders>
            <w:noWrap w:val="0"/>
            <w:vAlign w:val="center"/>
          </w:tcPr>
          <w:p w14:paraId="249FB1B4">
            <w:pPr>
              <w:keepNext w:val="0"/>
              <w:keepLines w:val="0"/>
              <w:pageBreakBefore w:val="0"/>
              <w:kinsoku/>
              <w:wordWrap/>
              <w:overflowPunct/>
              <w:topLinePunct w:val="0"/>
              <w:autoSpaceDE/>
              <w:autoSpaceDN/>
              <w:bidi w:val="0"/>
              <w:adjustRightInd/>
              <w:snapToGrid/>
              <w:spacing w:line="350" w:lineRule="exact"/>
              <w:textAlignment w:val="auto"/>
              <w:rPr>
                <w:rFonts w:hint="default" w:ascii="宋体" w:hAnsi="宋体" w:eastAsia="宋体" w:cs="宋体"/>
                <w:color w:val="auto"/>
                <w:kern w:val="0"/>
                <w:szCs w:val="21"/>
                <w:lang w:val="en-US" w:eastAsia="zh-CN"/>
              </w:rPr>
            </w:pPr>
            <w:r>
              <w:rPr>
                <w:rFonts w:hint="eastAsia" w:ascii="宋体" w:hAnsi="宋体" w:cs="宋体"/>
                <w:color w:val="auto"/>
                <w:szCs w:val="21"/>
                <w:highlight w:val="none"/>
                <w:lang w:eastAsia="zh-CN"/>
              </w:rPr>
              <w:t>自合同签订之日起35个日历天内供货、安装</w:t>
            </w:r>
            <w:r>
              <w:rPr>
                <w:rFonts w:hint="eastAsia" w:ascii="宋体" w:hAnsi="宋体" w:cs="宋体"/>
                <w:color w:val="auto"/>
                <w:szCs w:val="21"/>
                <w:highlight w:val="none"/>
              </w:rPr>
              <w:t>、调试及验收完成</w:t>
            </w:r>
            <w:r>
              <w:rPr>
                <w:rFonts w:hint="eastAsia" w:hAnsi="宋体" w:cs="宋体"/>
                <w:color w:val="auto"/>
                <w:szCs w:val="21"/>
                <w:highlight w:val="none"/>
              </w:rPr>
              <w:t>。</w:t>
            </w:r>
            <w:r>
              <w:rPr>
                <w:rFonts w:hint="eastAsia" w:ascii="宋体" w:hAnsi="宋体" w:eastAsia="宋体" w:cs="宋体"/>
                <w:color w:val="auto"/>
                <w:szCs w:val="21"/>
                <w:highlight w:val="none"/>
                <w:lang w:val="en-US" w:eastAsia="zh-CN"/>
              </w:rPr>
              <w:t>投标人自报的承诺工期为考核标准，每推迟一天，按1000 元/天处以违约金。</w:t>
            </w:r>
          </w:p>
        </w:tc>
      </w:tr>
      <w:tr w14:paraId="6C26A421">
        <w:tblPrEx>
          <w:tblCellMar>
            <w:top w:w="0" w:type="dxa"/>
            <w:left w:w="0" w:type="dxa"/>
            <w:bottom w:w="0" w:type="dxa"/>
            <w:right w:w="0" w:type="dxa"/>
          </w:tblCellMar>
        </w:tblPrEx>
        <w:trPr>
          <w:trHeight w:val="266" w:hRule="atLeast"/>
        </w:trPr>
        <w:tc>
          <w:tcPr>
            <w:tcW w:w="563" w:type="dxa"/>
            <w:tcBorders>
              <w:top w:val="single" w:color="auto" w:sz="8" w:space="0"/>
              <w:left w:val="single" w:color="auto" w:sz="8" w:space="0"/>
              <w:bottom w:val="single" w:color="auto" w:sz="8" w:space="0"/>
              <w:right w:val="single" w:color="auto" w:sz="8" w:space="0"/>
            </w:tcBorders>
            <w:noWrap w:val="0"/>
            <w:vAlign w:val="center"/>
          </w:tcPr>
          <w:p w14:paraId="4BC150E3">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rPr>
            </w:pPr>
            <w:r>
              <w:rPr>
                <w:rFonts w:hint="eastAsia" w:ascii="宋体" w:hAnsi="宋体" w:eastAsia="宋体" w:cs="宋体"/>
                <w:color w:val="000000"/>
                <w:kern w:val="0"/>
              </w:rPr>
              <w:t>4</w:t>
            </w:r>
          </w:p>
        </w:tc>
        <w:tc>
          <w:tcPr>
            <w:tcW w:w="1185" w:type="dxa"/>
            <w:tcBorders>
              <w:top w:val="single" w:color="auto" w:sz="8" w:space="0"/>
              <w:left w:val="single" w:color="auto" w:sz="4" w:space="0"/>
              <w:bottom w:val="single" w:color="auto" w:sz="8" w:space="0"/>
              <w:right w:val="single" w:color="auto" w:sz="4" w:space="0"/>
            </w:tcBorders>
            <w:noWrap w:val="0"/>
            <w:vAlign w:val="center"/>
          </w:tcPr>
          <w:p w14:paraId="1299082B">
            <w:pPr>
              <w:keepNext w:val="0"/>
              <w:keepLines w:val="0"/>
              <w:pageBreakBefore w:val="0"/>
              <w:kinsoku/>
              <w:wordWrap/>
              <w:overflowPunct/>
              <w:topLinePunct w:val="0"/>
              <w:autoSpaceDE/>
              <w:autoSpaceDN/>
              <w:bidi w:val="0"/>
              <w:adjustRightInd/>
              <w:snapToGrid/>
              <w:spacing w:line="350" w:lineRule="exact"/>
              <w:ind w:left="1470" w:leftChars="0" w:hanging="1470" w:hangingChars="700"/>
              <w:jc w:val="center"/>
              <w:textAlignment w:val="auto"/>
              <w:rPr>
                <w:rFonts w:hint="default" w:ascii="宋体" w:hAnsi="宋体" w:eastAsia="宋体" w:cs="宋体"/>
                <w:color w:val="auto"/>
                <w:kern w:val="0"/>
                <w:lang w:val="en-US" w:eastAsia="zh-CN"/>
              </w:rPr>
            </w:pPr>
            <w:r>
              <w:rPr>
                <w:rFonts w:hint="eastAsia" w:ascii="宋体" w:hAnsi="宋体" w:eastAsia="宋体" w:cs="宋体"/>
                <w:color w:val="auto"/>
                <w:kern w:val="0"/>
                <w:lang w:val="en-US" w:eastAsia="zh-CN"/>
              </w:rPr>
              <w:t>质量要求</w:t>
            </w:r>
          </w:p>
        </w:tc>
        <w:tc>
          <w:tcPr>
            <w:tcW w:w="8512" w:type="dxa"/>
            <w:tcBorders>
              <w:top w:val="single" w:color="auto" w:sz="8" w:space="0"/>
              <w:left w:val="single" w:color="auto" w:sz="4" w:space="0"/>
              <w:bottom w:val="single" w:color="auto" w:sz="8" w:space="0"/>
              <w:right w:val="single" w:color="auto" w:sz="8" w:space="0"/>
            </w:tcBorders>
            <w:noWrap w:val="0"/>
            <w:vAlign w:val="center"/>
          </w:tcPr>
          <w:p w14:paraId="756B9932">
            <w:pPr>
              <w:keepNext w:val="0"/>
              <w:keepLines w:val="0"/>
              <w:pageBreakBefore w:val="0"/>
              <w:kinsoku/>
              <w:wordWrap/>
              <w:overflowPunct/>
              <w:topLinePunct w:val="0"/>
              <w:autoSpaceDE/>
              <w:autoSpaceDN/>
              <w:bidi w:val="0"/>
              <w:adjustRightInd/>
              <w:snapToGrid/>
              <w:spacing w:line="360" w:lineRule="auto"/>
              <w:textAlignment w:val="auto"/>
              <w:rPr>
                <w:rFonts w:hint="default" w:eastAsia="宋体"/>
                <w:color w:val="auto"/>
                <w:lang w:val="en-US" w:eastAsia="zh-CN"/>
              </w:rPr>
            </w:pPr>
            <w:r>
              <w:rPr>
                <w:rFonts w:hint="default" w:eastAsia="宋体"/>
                <w:color w:val="auto"/>
                <w:lang w:val="en-US" w:eastAsia="zh-CN"/>
              </w:rPr>
              <w:t>工程质量必须达到国家工程施工质量验收合格标准。</w:t>
            </w:r>
          </w:p>
        </w:tc>
      </w:tr>
      <w:tr w14:paraId="59A99006">
        <w:tblPrEx>
          <w:tblCellMar>
            <w:top w:w="0" w:type="dxa"/>
            <w:left w:w="0" w:type="dxa"/>
            <w:bottom w:w="0" w:type="dxa"/>
            <w:right w:w="0" w:type="dxa"/>
          </w:tblCellMar>
        </w:tblPrEx>
        <w:trPr>
          <w:trHeight w:val="549" w:hRule="atLeast"/>
        </w:trPr>
        <w:tc>
          <w:tcPr>
            <w:tcW w:w="563" w:type="dxa"/>
            <w:tcBorders>
              <w:top w:val="single" w:color="auto" w:sz="8" w:space="0"/>
              <w:left w:val="single" w:color="auto" w:sz="8" w:space="0"/>
              <w:bottom w:val="single" w:color="auto" w:sz="8" w:space="0"/>
              <w:right w:val="single" w:color="auto" w:sz="8" w:space="0"/>
            </w:tcBorders>
            <w:noWrap w:val="0"/>
            <w:vAlign w:val="center"/>
          </w:tcPr>
          <w:p w14:paraId="59F18B3E">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rPr>
            </w:pPr>
            <w:r>
              <w:rPr>
                <w:rFonts w:hint="eastAsia" w:ascii="宋体" w:hAnsi="宋体" w:eastAsia="宋体" w:cs="宋体"/>
                <w:color w:val="auto"/>
                <w:kern w:val="0"/>
              </w:rPr>
              <w:t>5</w:t>
            </w:r>
          </w:p>
        </w:tc>
        <w:tc>
          <w:tcPr>
            <w:tcW w:w="1185" w:type="dxa"/>
            <w:tcBorders>
              <w:top w:val="single" w:color="auto" w:sz="8" w:space="0"/>
              <w:left w:val="single" w:color="auto" w:sz="4" w:space="0"/>
              <w:bottom w:val="single" w:color="auto" w:sz="8" w:space="0"/>
              <w:right w:val="single" w:color="auto" w:sz="4" w:space="0"/>
            </w:tcBorders>
            <w:noWrap w:val="0"/>
            <w:vAlign w:val="center"/>
          </w:tcPr>
          <w:p w14:paraId="67D29972">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rPr>
            </w:pPr>
            <w:r>
              <w:rPr>
                <w:rFonts w:hint="eastAsia" w:ascii="宋体" w:hAnsi="宋体" w:eastAsia="宋体" w:cs="宋体"/>
                <w:color w:val="auto"/>
                <w:kern w:val="0"/>
                <w:sz w:val="21"/>
                <w:szCs w:val="21"/>
                <w:highlight w:val="none"/>
              </w:rPr>
              <w:t>投标人资格要求</w:t>
            </w:r>
          </w:p>
        </w:tc>
        <w:tc>
          <w:tcPr>
            <w:tcW w:w="8512" w:type="dxa"/>
            <w:tcBorders>
              <w:top w:val="single" w:color="auto" w:sz="8" w:space="0"/>
              <w:left w:val="single" w:color="auto" w:sz="4" w:space="0"/>
              <w:bottom w:val="single" w:color="auto" w:sz="8" w:space="0"/>
              <w:right w:val="single" w:color="auto" w:sz="8" w:space="0"/>
            </w:tcBorders>
            <w:noWrap w:val="0"/>
            <w:vAlign w:val="center"/>
          </w:tcPr>
          <w:p w14:paraId="324582B3">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default"/>
                <w:color w:val="auto"/>
                <w:lang w:val="en-US" w:eastAsia="zh-CN"/>
              </w:rPr>
            </w:pPr>
            <w:r>
              <w:rPr>
                <w:rFonts w:hint="eastAsia" w:ascii="宋体" w:hAnsi="宋体" w:cs="宋体"/>
                <w:color w:val="auto"/>
                <w:kern w:val="0"/>
                <w:szCs w:val="21"/>
                <w:lang w:val="en-US" w:eastAsia="zh-CN"/>
              </w:rPr>
              <w:t>详见招标公告</w:t>
            </w:r>
            <w:r>
              <w:rPr>
                <w:rFonts w:hint="eastAsia" w:ascii="宋体" w:hAnsi="宋体" w:eastAsia="宋体" w:cs="宋体"/>
                <w:bCs/>
                <w:color w:val="auto"/>
                <w:kern w:val="1"/>
                <w:sz w:val="21"/>
                <w:szCs w:val="21"/>
                <w:highlight w:val="none"/>
                <w:lang w:val="en-US" w:eastAsia="zh-CN"/>
              </w:rPr>
              <w:t xml:space="preserve"> </w:t>
            </w:r>
            <w:r>
              <w:rPr>
                <w:rFonts w:hint="eastAsia" w:ascii="宋体" w:hAnsi="宋体" w:eastAsia="宋体" w:cs="宋体"/>
                <w:bCs/>
                <w:color w:val="auto"/>
                <w:kern w:val="1"/>
                <w:sz w:val="21"/>
                <w:szCs w:val="21"/>
                <w:highlight w:val="none"/>
                <w:lang w:eastAsia="zh-CN"/>
              </w:rPr>
              <w:t xml:space="preserve">         </w:t>
            </w:r>
          </w:p>
        </w:tc>
      </w:tr>
      <w:tr w14:paraId="278819E2">
        <w:tblPrEx>
          <w:tblCellMar>
            <w:top w:w="0" w:type="dxa"/>
            <w:left w:w="0" w:type="dxa"/>
            <w:bottom w:w="0" w:type="dxa"/>
            <w:right w:w="0" w:type="dxa"/>
          </w:tblCellMar>
        </w:tblPrEx>
        <w:trPr>
          <w:trHeight w:val="549" w:hRule="atLeast"/>
        </w:trPr>
        <w:tc>
          <w:tcPr>
            <w:tcW w:w="563" w:type="dxa"/>
            <w:tcBorders>
              <w:top w:val="single" w:color="auto" w:sz="8" w:space="0"/>
              <w:left w:val="single" w:color="auto" w:sz="8" w:space="0"/>
              <w:bottom w:val="single" w:color="auto" w:sz="8" w:space="0"/>
              <w:right w:val="single" w:color="auto" w:sz="8" w:space="0"/>
            </w:tcBorders>
            <w:noWrap w:val="0"/>
            <w:vAlign w:val="center"/>
          </w:tcPr>
          <w:p w14:paraId="2ED56FC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lang w:val="en-US" w:eastAsia="zh-CN"/>
              </w:rPr>
            </w:pPr>
            <w:r>
              <w:rPr>
                <w:rFonts w:hint="eastAsia" w:ascii="宋体" w:hAnsi="宋体" w:eastAsia="宋体" w:cs="宋体"/>
                <w:color w:val="000000"/>
                <w:kern w:val="0"/>
                <w:lang w:val="en-US" w:eastAsia="zh-CN"/>
              </w:rPr>
              <w:t>6</w:t>
            </w:r>
          </w:p>
        </w:tc>
        <w:tc>
          <w:tcPr>
            <w:tcW w:w="1185" w:type="dxa"/>
            <w:tcBorders>
              <w:top w:val="single" w:color="auto" w:sz="8" w:space="0"/>
              <w:left w:val="single" w:color="auto" w:sz="4" w:space="0"/>
              <w:bottom w:val="single" w:color="auto" w:sz="8" w:space="0"/>
              <w:right w:val="single" w:color="auto" w:sz="4" w:space="0"/>
            </w:tcBorders>
            <w:noWrap w:val="0"/>
            <w:vAlign w:val="center"/>
          </w:tcPr>
          <w:p w14:paraId="72161780">
            <w:pPr>
              <w:keepNext w:val="0"/>
              <w:keepLines w:val="0"/>
              <w:pageBreakBefore w:val="0"/>
              <w:widowControl w:val="0"/>
              <w:kinsoku/>
              <w:wordWrap/>
              <w:overflowPunct/>
              <w:topLinePunct w:val="0"/>
              <w:autoSpaceDE/>
              <w:autoSpaceDN/>
              <w:bidi w:val="0"/>
              <w:adjustRightInd/>
              <w:snapToGrid/>
              <w:spacing w:line="350" w:lineRule="exact"/>
              <w:ind w:left="1470" w:leftChars="0" w:hanging="1470" w:hangingChars="700"/>
              <w:jc w:val="center"/>
              <w:textAlignment w:val="auto"/>
              <w:rPr>
                <w:rFonts w:hint="eastAsia" w:ascii="宋体" w:hAnsi="宋体" w:eastAsia="宋体" w:cs="宋体"/>
                <w:color w:val="auto"/>
                <w:kern w:val="0"/>
                <w:lang w:val="en-US" w:eastAsia="zh-CN"/>
              </w:rPr>
            </w:pPr>
            <w:r>
              <w:rPr>
                <w:rFonts w:hint="eastAsia" w:ascii="宋体" w:hAnsi="宋体" w:eastAsia="宋体" w:cs="宋体"/>
                <w:color w:val="auto"/>
                <w:kern w:val="0"/>
                <w:lang w:val="en-US" w:eastAsia="zh-CN"/>
              </w:rPr>
              <w:t>最高限价</w:t>
            </w:r>
          </w:p>
        </w:tc>
        <w:tc>
          <w:tcPr>
            <w:tcW w:w="8512" w:type="dxa"/>
            <w:tcBorders>
              <w:top w:val="single" w:color="auto" w:sz="8" w:space="0"/>
              <w:left w:val="single" w:color="auto" w:sz="4" w:space="0"/>
              <w:bottom w:val="single" w:color="auto" w:sz="8" w:space="0"/>
              <w:right w:val="single" w:color="auto" w:sz="8" w:space="0"/>
            </w:tcBorders>
            <w:noWrap w:val="0"/>
            <w:vAlign w:val="center"/>
          </w:tcPr>
          <w:p w14:paraId="2103F9A6">
            <w:pPr>
              <w:keepNext w:val="0"/>
              <w:keepLines w:val="0"/>
              <w:pageBreakBefore w:val="0"/>
              <w:widowControl/>
              <w:numPr>
                <w:ilvl w:val="0"/>
                <w:numId w:val="0"/>
              </w:numPr>
              <w:kinsoku/>
              <w:wordWrap/>
              <w:overflowPunct/>
              <w:topLinePunct w:val="0"/>
              <w:autoSpaceDE/>
              <w:autoSpaceDN/>
              <w:bidi w:val="0"/>
              <w:adjustRightInd/>
              <w:snapToGrid/>
              <w:spacing w:line="350" w:lineRule="exact"/>
              <w:jc w:val="lef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本</w:t>
            </w:r>
            <w:r>
              <w:rPr>
                <w:rFonts w:hint="eastAsia" w:ascii="宋体" w:hAnsi="宋体" w:eastAsia="宋体" w:cs="宋体"/>
                <w:color w:val="auto"/>
                <w:kern w:val="0"/>
                <w:szCs w:val="21"/>
                <w:highlight w:val="none"/>
                <w:lang w:val="en-US" w:eastAsia="zh-CN"/>
              </w:rPr>
              <w:t>项目最高限价为</w:t>
            </w:r>
            <w:r>
              <w:rPr>
                <w:rFonts w:hint="eastAsia" w:ascii="宋体" w:hAnsi="宋体" w:cs="宋体"/>
                <w:color w:val="0000FF"/>
                <w:kern w:val="0"/>
                <w:szCs w:val="21"/>
                <w:highlight w:val="none"/>
                <w:lang w:val="en-US" w:eastAsia="zh-CN"/>
              </w:rPr>
              <w:t>945000.00</w:t>
            </w:r>
            <w:r>
              <w:rPr>
                <w:rFonts w:hint="eastAsia" w:ascii="宋体" w:hAnsi="宋体" w:eastAsia="宋体" w:cs="宋体"/>
                <w:color w:val="0000FF"/>
                <w:kern w:val="0"/>
                <w:szCs w:val="21"/>
                <w:highlight w:val="none"/>
                <w:lang w:val="en-US" w:eastAsia="zh-CN"/>
              </w:rPr>
              <w:t>元</w:t>
            </w:r>
            <w:r>
              <w:rPr>
                <w:rFonts w:hint="eastAsia" w:ascii="宋体" w:hAnsi="宋体" w:eastAsia="宋体" w:cs="宋体"/>
                <w:color w:val="auto"/>
                <w:kern w:val="0"/>
                <w:szCs w:val="21"/>
                <w:highlight w:val="none"/>
                <w:lang w:val="en-US" w:eastAsia="zh-CN"/>
              </w:rPr>
              <w:t>。投标人结合现行的市场价格信息并充分考虑市场价格的走势风险，按招标文件规定的计价依据及结算方式进行报价。本项目投标人的投标报价不得高于最高限价，否则按无效标处理。</w:t>
            </w:r>
          </w:p>
        </w:tc>
      </w:tr>
      <w:tr w14:paraId="7FDA4F8C">
        <w:tblPrEx>
          <w:tblCellMar>
            <w:top w:w="0" w:type="dxa"/>
            <w:left w:w="0" w:type="dxa"/>
            <w:bottom w:w="0" w:type="dxa"/>
            <w:right w:w="0" w:type="dxa"/>
          </w:tblCellMar>
        </w:tblPrEx>
        <w:trPr>
          <w:trHeight w:val="413" w:hRule="atLeast"/>
        </w:trPr>
        <w:tc>
          <w:tcPr>
            <w:tcW w:w="563" w:type="dxa"/>
            <w:tcBorders>
              <w:top w:val="single" w:color="auto" w:sz="8" w:space="0"/>
              <w:left w:val="single" w:color="auto" w:sz="8" w:space="0"/>
              <w:bottom w:val="single" w:color="auto" w:sz="8" w:space="0"/>
              <w:right w:val="single" w:color="auto" w:sz="8" w:space="0"/>
            </w:tcBorders>
            <w:noWrap w:val="0"/>
            <w:vAlign w:val="center"/>
          </w:tcPr>
          <w:p w14:paraId="3C6E6F25">
            <w:pPr>
              <w:keepNext w:val="0"/>
              <w:keepLines w:val="0"/>
              <w:pageBreakBefore w:val="0"/>
              <w:kinsoku/>
              <w:wordWrap/>
              <w:overflowPunct/>
              <w:topLinePunct w:val="0"/>
              <w:autoSpaceDE/>
              <w:autoSpaceDN/>
              <w:bidi w:val="0"/>
              <w:adjustRightInd/>
              <w:snapToGrid/>
              <w:spacing w:line="400" w:lineRule="exact"/>
              <w:ind w:firstLine="210" w:firstLineChars="100"/>
              <w:jc w:val="center"/>
              <w:textAlignment w:val="auto"/>
              <w:rPr>
                <w:rFonts w:hint="eastAsia" w:ascii="宋体" w:hAnsi="宋体" w:eastAsia="宋体" w:cs="宋体"/>
                <w:color w:val="000000"/>
                <w:kern w:val="0"/>
                <w:lang w:eastAsia="zh-CN"/>
              </w:rPr>
            </w:pPr>
            <w:r>
              <w:rPr>
                <w:rFonts w:hint="eastAsia" w:ascii="宋体" w:hAnsi="宋体" w:eastAsia="宋体" w:cs="宋体"/>
                <w:color w:val="000000"/>
                <w:kern w:val="0"/>
                <w:lang w:val="en-US" w:eastAsia="zh-CN"/>
              </w:rPr>
              <w:t>7</w:t>
            </w:r>
          </w:p>
        </w:tc>
        <w:tc>
          <w:tcPr>
            <w:tcW w:w="1185" w:type="dxa"/>
            <w:tcBorders>
              <w:top w:val="single" w:color="auto" w:sz="8" w:space="0"/>
              <w:left w:val="single" w:color="auto" w:sz="4" w:space="0"/>
              <w:bottom w:val="single" w:color="auto" w:sz="8" w:space="0"/>
              <w:right w:val="single" w:color="auto" w:sz="4" w:space="0"/>
            </w:tcBorders>
            <w:noWrap w:val="0"/>
            <w:vAlign w:val="bottom"/>
          </w:tcPr>
          <w:p w14:paraId="17E41655">
            <w:pPr>
              <w:pStyle w:val="28"/>
              <w:keepNext w:val="0"/>
              <w:keepLines w:val="0"/>
              <w:pageBreakBefore w:val="0"/>
              <w:kinsoku/>
              <w:wordWrap/>
              <w:overflowPunct/>
              <w:topLinePunct w:val="0"/>
              <w:autoSpaceDE/>
              <w:autoSpaceDN/>
              <w:bidi w:val="0"/>
              <w:adjustRightInd/>
              <w:snapToGrid/>
              <w:spacing w:line="350" w:lineRule="exact"/>
              <w:textAlignment w:val="auto"/>
              <w:rPr>
                <w:rFonts w:hint="eastAsia" w:ascii="宋体" w:hAnsi="宋体" w:eastAsia="宋体" w:cs="宋体"/>
                <w:color w:val="000000"/>
                <w:spacing w:val="-6"/>
                <w:kern w:val="0"/>
                <w:sz w:val="21"/>
                <w:szCs w:val="24"/>
              </w:rPr>
            </w:pPr>
            <w:r>
              <w:rPr>
                <w:rFonts w:hint="eastAsia" w:ascii="宋体" w:hAnsi="宋体" w:eastAsia="宋体" w:cs="宋体"/>
                <w:color w:val="000000"/>
                <w:spacing w:val="-6"/>
                <w:kern w:val="0"/>
                <w:sz w:val="21"/>
                <w:szCs w:val="24"/>
              </w:rPr>
              <w:t>投标文件份数</w:t>
            </w:r>
          </w:p>
        </w:tc>
        <w:tc>
          <w:tcPr>
            <w:tcW w:w="8512" w:type="dxa"/>
            <w:tcBorders>
              <w:top w:val="single" w:color="auto" w:sz="8" w:space="0"/>
              <w:left w:val="single" w:color="auto" w:sz="4" w:space="0"/>
              <w:bottom w:val="single" w:color="auto" w:sz="8" w:space="0"/>
              <w:right w:val="single" w:color="auto" w:sz="8" w:space="0"/>
            </w:tcBorders>
            <w:shd w:val="clear" w:color="auto" w:fill="auto"/>
            <w:noWrap w:val="0"/>
            <w:vAlign w:val="center"/>
          </w:tcPr>
          <w:p w14:paraId="4D0D5C7A">
            <w:pPr>
              <w:pageBreakBefore w:val="0"/>
              <w:kinsoku/>
              <w:wordWrap/>
              <w:overflowPunct/>
              <w:autoSpaceDE/>
              <w:autoSpaceDN/>
              <w:bidi w:val="0"/>
              <w:adjustRightInd w:val="0"/>
              <w:snapToGrid w:val="0"/>
              <w:spacing w:line="440" w:lineRule="exac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加密电子投标文件应在投标截止时间前</w:t>
            </w:r>
            <w:r>
              <w:rPr>
                <w:rFonts w:hint="eastAsia" w:ascii="宋体" w:hAnsi="宋体" w:eastAsia="宋体" w:cs="宋体"/>
                <w:color w:val="auto"/>
                <w:szCs w:val="21"/>
                <w:highlight w:val="none"/>
              </w:rPr>
              <w:t>，</w:t>
            </w:r>
            <w:r>
              <w:rPr>
                <w:rFonts w:hint="eastAsia" w:ascii="宋体" w:hAnsi="宋体" w:cs="宋体"/>
                <w:color w:val="auto"/>
                <w:szCs w:val="21"/>
                <w:highlight w:val="none"/>
                <w:lang w:eastAsia="zh-CN"/>
              </w:rPr>
              <w:t>登录</w:t>
            </w:r>
            <w:r>
              <w:rPr>
                <w:rFonts w:hint="eastAsia" w:ascii="宋体" w:hAnsi="宋体" w:eastAsia="宋体" w:cs="宋体"/>
                <w:color w:val="auto"/>
                <w:szCs w:val="21"/>
                <w:highlight w:val="none"/>
              </w:rPr>
              <w:t>新点电子交易平台【滁州专区】上传投标文件。</w:t>
            </w:r>
          </w:p>
          <w:p w14:paraId="31C02638">
            <w:pPr>
              <w:pageBreakBefore w:val="0"/>
              <w:kinsoku/>
              <w:wordWrap/>
              <w:overflowPunct/>
              <w:autoSpaceDE/>
              <w:autoSpaceDN/>
              <w:bidi w:val="0"/>
              <w:adjustRightInd w:val="0"/>
              <w:snapToGrid w:val="0"/>
              <w:spacing w:line="440" w:lineRule="exact"/>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b/>
                <w:color w:val="000000"/>
                <w:kern w:val="0"/>
                <w:sz w:val="21"/>
                <w:szCs w:val="21"/>
              </w:rPr>
              <w:t>（投标人中标后须递交与网上电子投标文件完全一致的纸质版投标文件，并按要求加盖单位公章；份数：正本</w:t>
            </w:r>
            <w:r>
              <w:rPr>
                <w:rFonts w:hint="eastAsia" w:ascii="宋体" w:hAnsi="宋体" w:eastAsia="宋体" w:cs="宋体"/>
                <w:b/>
                <w:color w:val="000000"/>
                <w:kern w:val="0"/>
                <w:sz w:val="21"/>
                <w:szCs w:val="21"/>
                <w:u w:val="single"/>
                <w:lang w:val="en-US" w:eastAsia="zh-CN"/>
              </w:rPr>
              <w:t>1</w:t>
            </w:r>
            <w:r>
              <w:rPr>
                <w:rFonts w:hint="eastAsia" w:ascii="宋体" w:hAnsi="宋体" w:eastAsia="宋体" w:cs="宋体"/>
                <w:b/>
                <w:color w:val="000000"/>
                <w:kern w:val="0"/>
                <w:sz w:val="21"/>
                <w:szCs w:val="21"/>
              </w:rPr>
              <w:t>份，副本</w:t>
            </w:r>
            <w:r>
              <w:rPr>
                <w:rFonts w:hint="eastAsia" w:ascii="宋体" w:hAnsi="宋体" w:eastAsia="宋体" w:cs="宋体"/>
                <w:b/>
                <w:color w:val="000000"/>
                <w:kern w:val="0"/>
                <w:sz w:val="21"/>
                <w:szCs w:val="21"/>
                <w:u w:val="single"/>
                <w:lang w:val="en-US" w:eastAsia="zh-CN"/>
              </w:rPr>
              <w:t>2</w:t>
            </w:r>
            <w:r>
              <w:rPr>
                <w:rFonts w:hint="eastAsia" w:ascii="宋体" w:hAnsi="宋体" w:eastAsia="宋体" w:cs="宋体"/>
                <w:b/>
                <w:color w:val="000000"/>
                <w:kern w:val="0"/>
                <w:sz w:val="21"/>
                <w:szCs w:val="21"/>
              </w:rPr>
              <w:t>份；中标人领取中标通知书时，一并递交给招标代理机构）。</w:t>
            </w:r>
          </w:p>
        </w:tc>
      </w:tr>
      <w:tr w14:paraId="5A7EB89E">
        <w:tblPrEx>
          <w:tblCellMar>
            <w:top w:w="0" w:type="dxa"/>
            <w:left w:w="0" w:type="dxa"/>
            <w:bottom w:w="0" w:type="dxa"/>
            <w:right w:w="0" w:type="dxa"/>
          </w:tblCellMar>
        </w:tblPrEx>
        <w:trPr>
          <w:trHeight w:val="1052" w:hRule="atLeast"/>
        </w:trPr>
        <w:tc>
          <w:tcPr>
            <w:tcW w:w="563" w:type="dxa"/>
            <w:tcBorders>
              <w:top w:val="single" w:color="auto" w:sz="8" w:space="0"/>
              <w:left w:val="single" w:color="auto" w:sz="8" w:space="0"/>
              <w:bottom w:val="single" w:color="auto" w:sz="8" w:space="0"/>
              <w:right w:val="single" w:color="auto" w:sz="8" w:space="0"/>
            </w:tcBorders>
            <w:noWrap w:val="0"/>
            <w:vAlign w:val="center"/>
          </w:tcPr>
          <w:p w14:paraId="330FB376">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lang w:eastAsia="zh-CN"/>
              </w:rPr>
            </w:pPr>
            <w:r>
              <w:rPr>
                <w:rFonts w:hint="eastAsia" w:ascii="宋体" w:hAnsi="宋体" w:eastAsia="宋体" w:cs="宋体"/>
                <w:color w:val="000000"/>
                <w:kern w:val="0"/>
                <w:lang w:val="en-US" w:eastAsia="zh-CN"/>
              </w:rPr>
              <w:t>8</w:t>
            </w:r>
          </w:p>
        </w:tc>
        <w:tc>
          <w:tcPr>
            <w:tcW w:w="1185" w:type="dxa"/>
            <w:tcBorders>
              <w:top w:val="single" w:color="auto" w:sz="8" w:space="0"/>
              <w:left w:val="single" w:color="auto" w:sz="4" w:space="0"/>
              <w:bottom w:val="single" w:color="auto" w:sz="8" w:space="0"/>
              <w:right w:val="single" w:color="auto" w:sz="4" w:space="0"/>
            </w:tcBorders>
            <w:noWrap w:val="0"/>
            <w:vAlign w:val="center"/>
          </w:tcPr>
          <w:p w14:paraId="18934F66">
            <w:pPr>
              <w:keepNext w:val="0"/>
              <w:keepLines w:val="0"/>
              <w:pageBreakBefore w:val="0"/>
              <w:kinsoku/>
              <w:wordWrap/>
              <w:overflowPunct/>
              <w:topLinePunct w:val="0"/>
              <w:autoSpaceDE/>
              <w:autoSpaceDN/>
              <w:bidi w:val="0"/>
              <w:adjustRightInd/>
              <w:snapToGrid/>
              <w:spacing w:line="350" w:lineRule="exact"/>
              <w:jc w:val="center"/>
              <w:textAlignment w:val="auto"/>
              <w:rPr>
                <w:rFonts w:hint="eastAsia" w:ascii="宋体" w:hAnsi="宋体" w:eastAsia="宋体" w:cs="宋体"/>
                <w:color w:val="000000"/>
                <w:kern w:val="0"/>
              </w:rPr>
            </w:pPr>
            <w:r>
              <w:rPr>
                <w:rFonts w:hint="eastAsia" w:ascii="宋体" w:hAnsi="宋体" w:eastAsia="宋体" w:cs="宋体"/>
                <w:color w:val="000000"/>
                <w:kern w:val="0"/>
              </w:rPr>
              <w:t>勘察现场及投标预备会</w:t>
            </w:r>
          </w:p>
        </w:tc>
        <w:tc>
          <w:tcPr>
            <w:tcW w:w="8512" w:type="dxa"/>
            <w:tcBorders>
              <w:top w:val="single" w:color="auto" w:sz="8" w:space="0"/>
              <w:left w:val="single" w:color="auto" w:sz="4" w:space="0"/>
              <w:bottom w:val="single" w:color="auto" w:sz="8" w:space="0"/>
              <w:right w:val="single" w:color="auto" w:sz="8" w:space="0"/>
            </w:tcBorders>
            <w:noWrap w:val="0"/>
            <w:vAlign w:val="center"/>
          </w:tcPr>
          <w:p w14:paraId="683CE862">
            <w:pPr>
              <w:keepNext w:val="0"/>
              <w:keepLines w:val="0"/>
              <w:pageBreakBefore w:val="0"/>
              <w:kinsoku/>
              <w:wordWrap/>
              <w:overflowPunct/>
              <w:topLinePunct w:val="0"/>
              <w:autoSpaceDE/>
              <w:autoSpaceDN/>
              <w:bidi w:val="0"/>
              <w:adjustRightInd/>
              <w:snapToGrid/>
              <w:spacing w:line="350" w:lineRule="exact"/>
              <w:textAlignment w:val="auto"/>
              <w:rPr>
                <w:rFonts w:hint="eastAsia" w:ascii="宋体" w:hAnsi="宋体" w:eastAsia="宋体" w:cs="宋体"/>
                <w:color w:val="000000"/>
                <w:kern w:val="0"/>
                <w:u w:val="single"/>
              </w:rPr>
            </w:pPr>
            <w:r>
              <w:rPr>
                <w:rFonts w:hint="eastAsia" w:ascii="宋体" w:hAnsi="宋体" w:eastAsia="宋体" w:cs="宋体"/>
                <w:color w:val="000000"/>
                <w:kern w:val="0"/>
                <w:u w:val="single"/>
              </w:rPr>
              <w:t>不再集中召开招标答疑会；投标人自行组织勘察现场。</w:t>
            </w:r>
          </w:p>
        </w:tc>
      </w:tr>
      <w:tr w14:paraId="4A7D92EF">
        <w:tblPrEx>
          <w:tblCellMar>
            <w:top w:w="0" w:type="dxa"/>
            <w:left w:w="0" w:type="dxa"/>
            <w:bottom w:w="0" w:type="dxa"/>
            <w:right w:w="0" w:type="dxa"/>
          </w:tblCellMar>
        </w:tblPrEx>
        <w:trPr>
          <w:trHeight w:val="90" w:hRule="atLeast"/>
        </w:trPr>
        <w:tc>
          <w:tcPr>
            <w:tcW w:w="563" w:type="dxa"/>
            <w:tcBorders>
              <w:top w:val="single" w:color="auto" w:sz="8" w:space="0"/>
              <w:left w:val="single" w:color="auto" w:sz="8" w:space="0"/>
              <w:bottom w:val="single" w:color="auto" w:sz="8" w:space="0"/>
              <w:right w:val="single" w:color="auto" w:sz="8" w:space="0"/>
            </w:tcBorders>
            <w:noWrap w:val="0"/>
            <w:vAlign w:val="center"/>
          </w:tcPr>
          <w:p w14:paraId="1E616BA7">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lang w:val="en-US" w:eastAsia="zh-CN"/>
              </w:rPr>
            </w:pPr>
            <w:r>
              <w:rPr>
                <w:rFonts w:hint="eastAsia" w:ascii="宋体" w:hAnsi="宋体" w:eastAsia="宋体" w:cs="宋体"/>
                <w:color w:val="000000"/>
                <w:kern w:val="0"/>
                <w:lang w:val="en-US" w:eastAsia="zh-CN"/>
              </w:rPr>
              <w:t>9</w:t>
            </w:r>
          </w:p>
        </w:tc>
        <w:tc>
          <w:tcPr>
            <w:tcW w:w="1185" w:type="dxa"/>
            <w:tcBorders>
              <w:top w:val="single" w:color="auto" w:sz="8" w:space="0"/>
              <w:left w:val="single" w:color="auto" w:sz="4" w:space="0"/>
              <w:bottom w:val="single" w:color="auto" w:sz="8" w:space="0"/>
              <w:right w:val="single" w:color="auto" w:sz="4" w:space="0"/>
            </w:tcBorders>
            <w:noWrap w:val="0"/>
            <w:vAlign w:val="center"/>
          </w:tcPr>
          <w:p w14:paraId="628EEAE5">
            <w:pPr>
              <w:keepNext w:val="0"/>
              <w:keepLines w:val="0"/>
              <w:pageBreakBefore w:val="0"/>
              <w:kinsoku/>
              <w:wordWrap/>
              <w:overflowPunct/>
              <w:topLinePunct w:val="0"/>
              <w:autoSpaceDE/>
              <w:autoSpaceDN/>
              <w:bidi w:val="0"/>
              <w:adjustRightInd/>
              <w:snapToGrid/>
              <w:spacing w:line="350" w:lineRule="exact"/>
              <w:jc w:val="center"/>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投标保证金</w:t>
            </w:r>
          </w:p>
        </w:tc>
        <w:tc>
          <w:tcPr>
            <w:tcW w:w="8512" w:type="dxa"/>
            <w:tcBorders>
              <w:top w:val="single" w:color="auto" w:sz="8" w:space="0"/>
              <w:left w:val="single" w:color="auto" w:sz="4" w:space="0"/>
              <w:bottom w:val="single" w:color="auto" w:sz="8" w:space="0"/>
              <w:right w:val="single" w:color="auto" w:sz="8" w:space="0"/>
            </w:tcBorders>
            <w:noWrap w:val="0"/>
            <w:vAlign w:val="center"/>
          </w:tcPr>
          <w:p w14:paraId="7C73595E">
            <w:pPr>
              <w:keepNext w:val="0"/>
              <w:keepLines w:val="0"/>
              <w:pageBreakBefore w:val="0"/>
              <w:kinsoku/>
              <w:wordWrap/>
              <w:overflowPunct/>
              <w:topLinePunct w:val="0"/>
              <w:autoSpaceDE/>
              <w:autoSpaceDN/>
              <w:bidi w:val="0"/>
              <w:adjustRightInd/>
              <w:snapToGrid/>
              <w:spacing w:line="360" w:lineRule="auto"/>
              <w:textAlignment w:val="auto"/>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详见招标公告</w:t>
            </w:r>
          </w:p>
        </w:tc>
      </w:tr>
      <w:tr w14:paraId="73E9EC3C">
        <w:tblPrEx>
          <w:tblCellMar>
            <w:top w:w="0" w:type="dxa"/>
            <w:left w:w="0" w:type="dxa"/>
            <w:bottom w:w="0" w:type="dxa"/>
            <w:right w:w="0" w:type="dxa"/>
          </w:tblCellMar>
        </w:tblPrEx>
        <w:trPr>
          <w:trHeight w:val="1172" w:hRule="atLeast"/>
        </w:trPr>
        <w:tc>
          <w:tcPr>
            <w:tcW w:w="563" w:type="dxa"/>
            <w:tcBorders>
              <w:top w:val="single" w:color="auto" w:sz="8" w:space="0"/>
              <w:left w:val="single" w:color="auto" w:sz="8" w:space="0"/>
              <w:bottom w:val="single" w:color="auto" w:sz="8" w:space="0"/>
              <w:right w:val="single" w:color="auto" w:sz="8" w:space="0"/>
            </w:tcBorders>
            <w:noWrap w:val="0"/>
            <w:vAlign w:val="center"/>
          </w:tcPr>
          <w:p w14:paraId="6CEFF193">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lang w:eastAsia="zh-CN"/>
              </w:rPr>
            </w:pPr>
            <w:r>
              <w:rPr>
                <w:rFonts w:hint="eastAsia" w:ascii="宋体" w:hAnsi="宋体" w:eastAsia="宋体" w:cs="宋体"/>
                <w:color w:val="000000"/>
                <w:kern w:val="0"/>
              </w:rPr>
              <w:t>1</w:t>
            </w:r>
            <w:r>
              <w:rPr>
                <w:rFonts w:hint="eastAsia" w:ascii="宋体" w:hAnsi="宋体" w:eastAsia="宋体" w:cs="宋体"/>
                <w:color w:val="000000"/>
                <w:kern w:val="0"/>
                <w:lang w:val="en-US" w:eastAsia="zh-CN"/>
              </w:rPr>
              <w:t>0</w:t>
            </w:r>
          </w:p>
        </w:tc>
        <w:tc>
          <w:tcPr>
            <w:tcW w:w="1185" w:type="dxa"/>
            <w:tcBorders>
              <w:top w:val="single" w:color="auto" w:sz="8" w:space="0"/>
              <w:left w:val="single" w:color="auto" w:sz="4" w:space="0"/>
              <w:bottom w:val="single" w:color="auto" w:sz="8" w:space="0"/>
              <w:right w:val="single" w:color="auto" w:sz="4" w:space="0"/>
            </w:tcBorders>
            <w:noWrap w:val="0"/>
            <w:vAlign w:val="center"/>
          </w:tcPr>
          <w:p w14:paraId="4607C3EE">
            <w:pPr>
              <w:keepNext w:val="0"/>
              <w:keepLines w:val="0"/>
              <w:pageBreakBefore w:val="0"/>
              <w:kinsoku/>
              <w:wordWrap/>
              <w:overflowPunct/>
              <w:topLinePunct w:val="0"/>
              <w:autoSpaceDE/>
              <w:autoSpaceDN/>
              <w:bidi w:val="0"/>
              <w:adjustRightInd/>
              <w:snapToGrid/>
              <w:spacing w:line="350" w:lineRule="exact"/>
              <w:jc w:val="center"/>
              <w:textAlignment w:val="auto"/>
              <w:rPr>
                <w:rFonts w:hint="eastAsia" w:ascii="宋体" w:hAnsi="宋体" w:eastAsia="宋体" w:cs="宋体"/>
                <w:color w:val="auto"/>
                <w:kern w:val="0"/>
              </w:rPr>
            </w:pPr>
            <w:r>
              <w:rPr>
                <w:rFonts w:hint="eastAsia" w:ascii="宋体" w:hAnsi="宋体" w:eastAsia="宋体" w:cs="宋体"/>
                <w:color w:val="auto"/>
                <w:kern w:val="0"/>
                <w:sz w:val="21"/>
                <w:szCs w:val="21"/>
                <w:highlight w:val="none"/>
              </w:rPr>
              <w:t>投标文件提交截止时间</w:t>
            </w:r>
          </w:p>
        </w:tc>
        <w:tc>
          <w:tcPr>
            <w:tcW w:w="8512" w:type="dxa"/>
            <w:tcBorders>
              <w:top w:val="single" w:color="auto" w:sz="8" w:space="0"/>
              <w:left w:val="single" w:color="auto" w:sz="4" w:space="0"/>
              <w:bottom w:val="single" w:color="auto" w:sz="8" w:space="0"/>
              <w:right w:val="single" w:color="auto" w:sz="8" w:space="0"/>
            </w:tcBorders>
            <w:noWrap w:val="0"/>
            <w:vAlign w:val="center"/>
          </w:tcPr>
          <w:p w14:paraId="04D3E734">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时间：2025年</w:t>
            </w:r>
            <w:r>
              <w:rPr>
                <w:rFonts w:hint="eastAsia" w:ascii="宋体" w:hAnsi="宋体" w:cs="宋体"/>
                <w:color w:val="auto"/>
                <w:kern w:val="0"/>
                <w:szCs w:val="21"/>
                <w:highlight w:val="none"/>
                <w:lang w:val="en-US" w:eastAsia="zh-CN"/>
              </w:rPr>
              <w:t>3</w:t>
            </w:r>
            <w:r>
              <w:rPr>
                <w:rFonts w:hint="eastAsia" w:ascii="宋体" w:hAnsi="宋体" w:eastAsia="宋体" w:cs="宋体"/>
                <w:color w:val="auto"/>
                <w:kern w:val="0"/>
                <w:szCs w:val="21"/>
                <w:highlight w:val="none"/>
                <w:lang w:val="en-US" w:eastAsia="zh-CN"/>
              </w:rPr>
              <w:t>月</w:t>
            </w:r>
            <w:r>
              <w:rPr>
                <w:rFonts w:hint="eastAsia" w:ascii="宋体" w:hAnsi="宋体" w:cs="宋体"/>
                <w:color w:val="auto"/>
                <w:kern w:val="0"/>
                <w:szCs w:val="21"/>
                <w:highlight w:val="none"/>
                <w:lang w:val="en-US" w:eastAsia="zh-CN"/>
              </w:rPr>
              <w:t>7</w:t>
            </w:r>
            <w:r>
              <w:rPr>
                <w:rFonts w:hint="eastAsia" w:ascii="宋体" w:hAnsi="宋体" w:eastAsia="宋体" w:cs="宋体"/>
                <w:color w:val="auto"/>
                <w:kern w:val="0"/>
                <w:szCs w:val="21"/>
                <w:highlight w:val="none"/>
                <w:lang w:val="en-US" w:eastAsia="zh-CN"/>
              </w:rPr>
              <w:t>日9时00分</w:t>
            </w:r>
          </w:p>
        </w:tc>
      </w:tr>
      <w:tr w14:paraId="6AE0F34F">
        <w:tblPrEx>
          <w:tblCellMar>
            <w:top w:w="0" w:type="dxa"/>
            <w:left w:w="0" w:type="dxa"/>
            <w:bottom w:w="0" w:type="dxa"/>
            <w:right w:w="0" w:type="dxa"/>
          </w:tblCellMar>
        </w:tblPrEx>
        <w:trPr>
          <w:trHeight w:val="444" w:hRule="atLeast"/>
        </w:trPr>
        <w:tc>
          <w:tcPr>
            <w:tcW w:w="563" w:type="dxa"/>
            <w:tcBorders>
              <w:top w:val="single" w:color="auto" w:sz="8" w:space="0"/>
              <w:left w:val="single" w:color="auto" w:sz="8" w:space="0"/>
              <w:bottom w:val="single" w:color="auto" w:sz="8" w:space="0"/>
              <w:right w:val="single" w:color="auto" w:sz="8" w:space="0"/>
            </w:tcBorders>
            <w:noWrap w:val="0"/>
            <w:vAlign w:val="center"/>
          </w:tcPr>
          <w:p w14:paraId="283B5427">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lang w:eastAsia="zh-CN"/>
              </w:rPr>
            </w:pPr>
            <w:r>
              <w:rPr>
                <w:rFonts w:hint="eastAsia" w:ascii="宋体" w:hAnsi="宋体" w:eastAsia="宋体" w:cs="宋体"/>
                <w:color w:val="000000"/>
                <w:kern w:val="0"/>
              </w:rPr>
              <w:t>1</w:t>
            </w:r>
            <w:r>
              <w:rPr>
                <w:rFonts w:hint="eastAsia" w:ascii="宋体" w:hAnsi="宋体" w:eastAsia="宋体" w:cs="宋体"/>
                <w:color w:val="000000"/>
                <w:kern w:val="0"/>
                <w:lang w:val="en-US" w:eastAsia="zh-CN"/>
              </w:rPr>
              <w:t>1</w:t>
            </w:r>
          </w:p>
        </w:tc>
        <w:tc>
          <w:tcPr>
            <w:tcW w:w="1185" w:type="dxa"/>
            <w:tcBorders>
              <w:top w:val="single" w:color="auto" w:sz="8" w:space="0"/>
              <w:left w:val="single" w:color="auto" w:sz="4" w:space="0"/>
              <w:bottom w:val="single" w:color="auto" w:sz="8" w:space="0"/>
              <w:right w:val="single" w:color="auto" w:sz="4" w:space="0"/>
            </w:tcBorders>
            <w:noWrap w:val="0"/>
            <w:vAlign w:val="center"/>
          </w:tcPr>
          <w:p w14:paraId="04344BF9">
            <w:pPr>
              <w:keepNext w:val="0"/>
              <w:keepLines w:val="0"/>
              <w:pageBreakBefore w:val="0"/>
              <w:kinsoku/>
              <w:wordWrap/>
              <w:overflowPunct/>
              <w:topLinePunct w:val="0"/>
              <w:autoSpaceDE/>
              <w:autoSpaceDN/>
              <w:bidi w:val="0"/>
              <w:adjustRightInd/>
              <w:snapToGrid/>
              <w:spacing w:line="350" w:lineRule="exact"/>
              <w:jc w:val="center"/>
              <w:textAlignment w:val="auto"/>
              <w:rPr>
                <w:rFonts w:hint="default" w:ascii="宋体" w:hAnsi="宋体" w:eastAsia="宋体" w:cs="宋体"/>
                <w:color w:val="auto"/>
                <w:kern w:val="0"/>
                <w:lang w:val="en-US" w:eastAsia="zh-CN"/>
              </w:rPr>
            </w:pPr>
            <w:r>
              <w:rPr>
                <w:rFonts w:hint="eastAsia" w:ascii="宋体" w:hAnsi="宋体" w:eastAsia="宋体" w:cs="宋体"/>
                <w:color w:val="auto"/>
                <w:kern w:val="0"/>
                <w:sz w:val="21"/>
                <w:szCs w:val="21"/>
                <w:highlight w:val="none"/>
              </w:rPr>
              <w:t>开标</w:t>
            </w:r>
            <w:r>
              <w:rPr>
                <w:rFonts w:hint="eastAsia" w:ascii="宋体" w:hAnsi="宋体" w:eastAsia="宋体" w:cs="宋体"/>
                <w:color w:val="auto"/>
                <w:kern w:val="0"/>
                <w:sz w:val="21"/>
                <w:szCs w:val="21"/>
                <w:highlight w:val="none"/>
                <w:lang w:val="en-US" w:eastAsia="zh-CN"/>
              </w:rPr>
              <w:t>时间及地点</w:t>
            </w:r>
          </w:p>
        </w:tc>
        <w:tc>
          <w:tcPr>
            <w:tcW w:w="8512" w:type="dxa"/>
            <w:tcBorders>
              <w:top w:val="single" w:color="auto" w:sz="8" w:space="0"/>
              <w:left w:val="single" w:color="auto" w:sz="4" w:space="0"/>
              <w:bottom w:val="single" w:color="auto" w:sz="8" w:space="0"/>
              <w:right w:val="single" w:color="auto" w:sz="8" w:space="0"/>
            </w:tcBorders>
            <w:noWrap w:val="0"/>
            <w:vAlign w:val="center"/>
          </w:tcPr>
          <w:p w14:paraId="3FBD9335">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开标时间：2025年</w:t>
            </w:r>
            <w:r>
              <w:rPr>
                <w:rFonts w:hint="eastAsia" w:ascii="宋体" w:hAnsi="宋体" w:cs="宋体"/>
                <w:color w:val="auto"/>
                <w:kern w:val="0"/>
                <w:szCs w:val="21"/>
                <w:highlight w:val="none"/>
                <w:lang w:val="en-US" w:eastAsia="zh-CN"/>
              </w:rPr>
              <w:t>3</w:t>
            </w:r>
            <w:r>
              <w:rPr>
                <w:rFonts w:hint="eastAsia" w:ascii="宋体" w:hAnsi="宋体" w:eastAsia="宋体" w:cs="宋体"/>
                <w:color w:val="auto"/>
                <w:kern w:val="0"/>
                <w:szCs w:val="21"/>
                <w:highlight w:val="none"/>
                <w:lang w:val="en-US" w:eastAsia="zh-CN"/>
              </w:rPr>
              <w:t>月</w:t>
            </w:r>
            <w:r>
              <w:rPr>
                <w:rFonts w:hint="eastAsia" w:ascii="宋体" w:hAnsi="宋体" w:cs="宋体"/>
                <w:color w:val="auto"/>
                <w:kern w:val="0"/>
                <w:szCs w:val="21"/>
                <w:highlight w:val="none"/>
                <w:lang w:val="en-US" w:eastAsia="zh-CN"/>
              </w:rPr>
              <w:t>7</w:t>
            </w:r>
            <w:r>
              <w:rPr>
                <w:rFonts w:hint="eastAsia" w:ascii="宋体" w:hAnsi="宋体" w:eastAsia="宋体" w:cs="宋体"/>
                <w:color w:val="auto"/>
                <w:kern w:val="0"/>
                <w:szCs w:val="21"/>
                <w:highlight w:val="none"/>
                <w:lang w:val="en-US" w:eastAsia="zh-CN"/>
              </w:rPr>
              <w:t>日9时00分</w:t>
            </w:r>
          </w:p>
          <w:p w14:paraId="1564462C">
            <w:pPr>
              <w:pageBreakBefore w:val="0"/>
              <w:kinsoku/>
              <w:wordWrap/>
              <w:overflowPunct/>
              <w:autoSpaceDE/>
              <w:autoSpaceDN/>
              <w:bidi w:val="0"/>
              <w:adjustRightInd w:val="0"/>
              <w:snapToGrid w:val="0"/>
              <w:spacing w:line="440" w:lineRule="exact"/>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000000"/>
                <w:sz w:val="21"/>
                <w:szCs w:val="21"/>
              </w:rPr>
              <w:t>解密时间：解密程序开始后</w:t>
            </w:r>
            <w:r>
              <w:rPr>
                <w:rFonts w:hint="eastAsia" w:ascii="宋体" w:hAnsi="宋体" w:eastAsia="宋体" w:cs="宋体"/>
                <w:color w:val="000000"/>
                <w:sz w:val="21"/>
                <w:szCs w:val="21"/>
                <w:u w:val="single"/>
                <w:lang w:val="en-US" w:eastAsia="zh-CN"/>
              </w:rPr>
              <w:t>30</w:t>
            </w:r>
            <w:r>
              <w:rPr>
                <w:rFonts w:hint="eastAsia" w:ascii="宋体" w:hAnsi="宋体" w:eastAsia="宋体" w:cs="宋体"/>
                <w:color w:val="000000"/>
                <w:sz w:val="21"/>
                <w:szCs w:val="21"/>
              </w:rPr>
              <w:t>分钟内</w:t>
            </w:r>
            <w:r>
              <w:rPr>
                <w:rFonts w:hint="eastAsia" w:ascii="宋体" w:hAnsi="宋体" w:eastAsia="宋体" w:cs="宋体"/>
                <w:bCs/>
                <w:snapToGrid w:val="0"/>
                <w:color w:val="000000"/>
                <w:kern w:val="0"/>
                <w:sz w:val="21"/>
                <w:szCs w:val="21"/>
              </w:rPr>
              <w:t>（以电子交易系统解密倒计时为准），</w:t>
            </w:r>
            <w:r>
              <w:rPr>
                <w:rFonts w:hint="eastAsia" w:ascii="宋体" w:hAnsi="宋体" w:eastAsia="宋体" w:cs="宋体"/>
                <w:color w:val="000000"/>
                <w:sz w:val="21"/>
                <w:szCs w:val="21"/>
              </w:rPr>
              <w:t>解密时间为</w:t>
            </w:r>
            <w:r>
              <w:rPr>
                <w:rFonts w:hint="eastAsia" w:ascii="宋体" w:hAnsi="宋体" w:eastAsia="宋体" w:cs="宋体"/>
                <w:color w:val="000000"/>
                <w:sz w:val="21"/>
                <w:szCs w:val="21"/>
                <w:u w:val="single"/>
                <w:lang w:val="en-US" w:eastAsia="zh-CN"/>
              </w:rPr>
              <w:t>20</w:t>
            </w:r>
            <w:r>
              <w:rPr>
                <w:rFonts w:hint="eastAsia" w:ascii="宋体" w:hAnsi="宋体" w:cs="宋体"/>
                <w:color w:val="000000"/>
                <w:sz w:val="21"/>
                <w:szCs w:val="21"/>
                <w:u w:val="single"/>
                <w:lang w:val="en-US" w:eastAsia="zh-CN"/>
              </w:rPr>
              <w:t>2</w:t>
            </w:r>
            <w:r>
              <w:rPr>
                <w:rFonts w:hint="eastAsia" w:ascii="宋体" w:hAnsi="宋体" w:eastAsia="宋体" w:cs="宋体"/>
                <w:color w:val="000000"/>
                <w:sz w:val="21"/>
                <w:szCs w:val="21"/>
                <w:u w:val="single"/>
                <w:lang w:val="en-US" w:eastAsia="zh-CN"/>
              </w:rPr>
              <w:t>5</w:t>
            </w:r>
            <w:r>
              <w:rPr>
                <w:rFonts w:hint="eastAsia" w:ascii="宋体" w:hAnsi="宋体" w:eastAsia="宋体" w:cs="宋体"/>
                <w:color w:val="000000"/>
                <w:sz w:val="21"/>
                <w:szCs w:val="21"/>
              </w:rPr>
              <w:t>年</w:t>
            </w:r>
            <w:r>
              <w:rPr>
                <w:rFonts w:hint="eastAsia" w:ascii="宋体" w:hAnsi="宋体" w:cs="宋体"/>
                <w:color w:val="000000"/>
                <w:sz w:val="21"/>
                <w:szCs w:val="21"/>
                <w:u w:val="single"/>
                <w:lang w:val="en-US" w:eastAsia="zh-CN"/>
              </w:rPr>
              <w:t>3</w:t>
            </w:r>
            <w:r>
              <w:rPr>
                <w:rFonts w:hint="eastAsia" w:ascii="宋体" w:hAnsi="宋体" w:eastAsia="宋体" w:cs="宋体"/>
                <w:color w:val="000000"/>
                <w:sz w:val="21"/>
                <w:szCs w:val="21"/>
              </w:rPr>
              <w:t>月</w:t>
            </w:r>
            <w:r>
              <w:rPr>
                <w:rFonts w:hint="eastAsia" w:ascii="宋体" w:hAnsi="宋体" w:eastAsia="宋体" w:cs="宋体"/>
                <w:color w:val="000000"/>
                <w:sz w:val="21"/>
                <w:szCs w:val="21"/>
                <w:u w:val="single"/>
              </w:rPr>
              <w:t xml:space="preserve"> </w:t>
            </w:r>
            <w:r>
              <w:rPr>
                <w:rFonts w:hint="eastAsia" w:ascii="宋体" w:hAnsi="宋体" w:cs="宋体"/>
                <w:color w:val="000000"/>
                <w:sz w:val="21"/>
                <w:szCs w:val="21"/>
                <w:u w:val="single"/>
                <w:lang w:val="en-US" w:eastAsia="zh-CN"/>
              </w:rPr>
              <w:t>7</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日</w:t>
            </w:r>
            <w:r>
              <w:rPr>
                <w:rFonts w:hint="eastAsia" w:ascii="宋体" w:hAnsi="宋体" w:cs="宋体"/>
                <w:color w:val="000000"/>
                <w:sz w:val="21"/>
                <w:szCs w:val="21"/>
                <w:u w:val="single"/>
                <w:lang w:val="en-US" w:eastAsia="zh-CN"/>
              </w:rPr>
              <w:t>9</w:t>
            </w:r>
            <w:r>
              <w:rPr>
                <w:rFonts w:hint="eastAsia" w:ascii="宋体" w:hAnsi="宋体" w:eastAsia="宋体" w:cs="宋体"/>
                <w:color w:val="000000"/>
                <w:sz w:val="21"/>
                <w:szCs w:val="21"/>
              </w:rPr>
              <w:t>时</w:t>
            </w:r>
            <w:r>
              <w:rPr>
                <w:rFonts w:hint="eastAsia" w:ascii="宋体" w:hAnsi="宋体" w:eastAsia="宋体" w:cs="宋体"/>
                <w:color w:val="000000"/>
                <w:sz w:val="21"/>
                <w:szCs w:val="21"/>
                <w:u w:val="single"/>
                <w:lang w:val="en-US" w:eastAsia="zh-CN"/>
              </w:rPr>
              <w:t>00</w:t>
            </w:r>
            <w:r>
              <w:rPr>
                <w:rFonts w:hint="eastAsia" w:ascii="宋体" w:hAnsi="宋体" w:eastAsia="宋体" w:cs="宋体"/>
                <w:color w:val="000000"/>
                <w:sz w:val="21"/>
                <w:szCs w:val="21"/>
              </w:rPr>
              <w:t>分至</w:t>
            </w:r>
            <w:r>
              <w:rPr>
                <w:rFonts w:hint="eastAsia" w:ascii="宋体" w:hAnsi="宋体" w:eastAsia="宋体" w:cs="宋体"/>
                <w:color w:val="000000"/>
                <w:sz w:val="21"/>
                <w:szCs w:val="21"/>
                <w:u w:val="single"/>
                <w:lang w:val="en-US" w:eastAsia="zh-CN"/>
              </w:rPr>
              <w:t>20</w:t>
            </w:r>
            <w:r>
              <w:rPr>
                <w:rFonts w:hint="eastAsia" w:ascii="宋体" w:hAnsi="宋体" w:cs="宋体"/>
                <w:color w:val="000000"/>
                <w:sz w:val="21"/>
                <w:szCs w:val="21"/>
                <w:u w:val="single"/>
                <w:lang w:val="en-US" w:eastAsia="zh-CN"/>
              </w:rPr>
              <w:t>2</w:t>
            </w:r>
            <w:r>
              <w:rPr>
                <w:rFonts w:hint="eastAsia" w:ascii="宋体" w:hAnsi="宋体" w:eastAsia="宋体" w:cs="宋体"/>
                <w:color w:val="000000"/>
                <w:sz w:val="21"/>
                <w:szCs w:val="21"/>
                <w:u w:val="single"/>
                <w:lang w:val="en-US" w:eastAsia="zh-CN"/>
              </w:rPr>
              <w:t>5</w:t>
            </w:r>
            <w:r>
              <w:rPr>
                <w:rFonts w:hint="eastAsia" w:ascii="宋体" w:hAnsi="宋体" w:eastAsia="宋体" w:cs="宋体"/>
                <w:color w:val="000000"/>
                <w:sz w:val="21"/>
                <w:szCs w:val="21"/>
              </w:rPr>
              <w:t>年</w:t>
            </w:r>
            <w:r>
              <w:rPr>
                <w:rFonts w:hint="eastAsia" w:ascii="宋体" w:hAnsi="宋体" w:cs="宋体"/>
                <w:color w:val="000000"/>
                <w:sz w:val="21"/>
                <w:szCs w:val="21"/>
                <w:u w:val="single"/>
                <w:lang w:val="en-US" w:eastAsia="zh-CN"/>
              </w:rPr>
              <w:t>3</w:t>
            </w:r>
            <w:r>
              <w:rPr>
                <w:rFonts w:hint="eastAsia" w:ascii="宋体" w:hAnsi="宋体" w:eastAsia="宋体" w:cs="宋体"/>
                <w:color w:val="000000"/>
                <w:sz w:val="21"/>
                <w:szCs w:val="21"/>
              </w:rPr>
              <w:t>月</w:t>
            </w:r>
            <w:r>
              <w:rPr>
                <w:rFonts w:hint="eastAsia" w:ascii="宋体" w:hAnsi="宋体" w:eastAsia="宋体" w:cs="宋体"/>
                <w:color w:val="000000"/>
                <w:sz w:val="21"/>
                <w:szCs w:val="21"/>
                <w:u w:val="single"/>
              </w:rPr>
              <w:t xml:space="preserve"> </w:t>
            </w:r>
            <w:r>
              <w:rPr>
                <w:rFonts w:hint="eastAsia" w:ascii="宋体" w:hAnsi="宋体" w:cs="宋体"/>
                <w:color w:val="000000"/>
                <w:sz w:val="21"/>
                <w:szCs w:val="21"/>
                <w:u w:val="single"/>
                <w:lang w:val="en-US" w:eastAsia="zh-CN"/>
              </w:rPr>
              <w:t>7</w:t>
            </w:r>
            <w:r>
              <w:rPr>
                <w:rFonts w:hint="eastAsia" w:ascii="宋体" w:hAnsi="宋体" w:eastAsia="宋体" w:cs="宋体"/>
                <w:color w:val="000000"/>
                <w:sz w:val="21"/>
                <w:szCs w:val="21"/>
                <w:u w:val="single"/>
              </w:rPr>
              <w:t xml:space="preserve"> </w:t>
            </w:r>
            <w:r>
              <w:rPr>
                <w:rFonts w:hint="eastAsia" w:ascii="宋体" w:hAnsi="宋体" w:eastAsia="宋体" w:cs="宋体"/>
                <w:color w:val="000000"/>
                <w:sz w:val="21"/>
                <w:szCs w:val="21"/>
              </w:rPr>
              <w:t>日</w:t>
            </w:r>
            <w:r>
              <w:rPr>
                <w:rFonts w:hint="eastAsia" w:ascii="宋体" w:hAnsi="宋体" w:cs="宋体"/>
                <w:color w:val="000000"/>
                <w:sz w:val="21"/>
                <w:szCs w:val="21"/>
                <w:u w:val="single"/>
                <w:lang w:val="en-US" w:eastAsia="zh-CN"/>
              </w:rPr>
              <w:t>9</w:t>
            </w:r>
            <w:r>
              <w:rPr>
                <w:rFonts w:hint="eastAsia" w:ascii="宋体" w:hAnsi="宋体" w:eastAsia="宋体" w:cs="宋体"/>
                <w:color w:val="000000"/>
                <w:sz w:val="21"/>
                <w:szCs w:val="21"/>
              </w:rPr>
              <w:t>时</w:t>
            </w:r>
            <w:r>
              <w:rPr>
                <w:rFonts w:hint="eastAsia" w:ascii="宋体" w:hAnsi="宋体" w:eastAsia="宋体" w:cs="宋体"/>
                <w:color w:val="000000"/>
                <w:sz w:val="21"/>
                <w:szCs w:val="21"/>
                <w:u w:val="single"/>
                <w:lang w:val="en-US" w:eastAsia="zh-CN"/>
              </w:rPr>
              <w:t>30</w:t>
            </w:r>
            <w:r>
              <w:rPr>
                <w:rFonts w:hint="eastAsia" w:ascii="宋体" w:hAnsi="宋体" w:eastAsia="宋体" w:cs="宋体"/>
                <w:color w:val="000000"/>
                <w:sz w:val="21"/>
                <w:szCs w:val="21"/>
              </w:rPr>
              <w:t>分。</w:t>
            </w:r>
          </w:p>
        </w:tc>
      </w:tr>
      <w:tr w14:paraId="0774D646">
        <w:tblPrEx>
          <w:tblCellMar>
            <w:top w:w="0" w:type="dxa"/>
            <w:left w:w="0" w:type="dxa"/>
            <w:bottom w:w="0" w:type="dxa"/>
            <w:right w:w="0" w:type="dxa"/>
          </w:tblCellMar>
        </w:tblPrEx>
        <w:trPr>
          <w:trHeight w:val="444" w:hRule="atLeast"/>
        </w:trPr>
        <w:tc>
          <w:tcPr>
            <w:tcW w:w="563" w:type="dxa"/>
            <w:tcBorders>
              <w:top w:val="single" w:color="auto" w:sz="8" w:space="0"/>
              <w:left w:val="single" w:color="auto" w:sz="8" w:space="0"/>
              <w:bottom w:val="single" w:color="auto" w:sz="8" w:space="0"/>
              <w:right w:val="single" w:color="auto" w:sz="8" w:space="0"/>
            </w:tcBorders>
            <w:noWrap w:val="0"/>
            <w:vAlign w:val="center"/>
          </w:tcPr>
          <w:p w14:paraId="25CCA137">
            <w:pPr>
              <w:keepNext w:val="0"/>
              <w:keepLines w:val="0"/>
              <w:pageBreakBefore w:val="0"/>
              <w:kinsoku/>
              <w:wordWrap/>
              <w:overflowPunct/>
              <w:topLinePunct w:val="0"/>
              <w:autoSpaceDE/>
              <w:autoSpaceDN/>
              <w:bidi w:val="0"/>
              <w:adjustRightInd/>
              <w:snapToGrid/>
              <w:spacing w:line="400" w:lineRule="exact"/>
              <w:textAlignment w:val="auto"/>
              <w:rPr>
                <w:rFonts w:hint="default" w:ascii="宋体" w:hAnsi="宋体" w:eastAsia="宋体" w:cs="宋体"/>
                <w:color w:val="000000"/>
                <w:kern w:val="0"/>
                <w:lang w:val="en-US" w:eastAsia="zh-CN"/>
              </w:rPr>
            </w:pPr>
            <w:r>
              <w:rPr>
                <w:rFonts w:hint="eastAsia" w:ascii="宋体" w:hAnsi="宋体" w:eastAsia="宋体" w:cs="宋体"/>
                <w:color w:val="000000"/>
                <w:kern w:val="0"/>
                <w:lang w:val="en-US" w:eastAsia="zh-CN"/>
              </w:rPr>
              <w:t>12</w:t>
            </w:r>
          </w:p>
        </w:tc>
        <w:tc>
          <w:tcPr>
            <w:tcW w:w="1185" w:type="dxa"/>
            <w:tcBorders>
              <w:top w:val="single" w:color="auto" w:sz="8" w:space="0"/>
              <w:left w:val="single" w:color="auto" w:sz="4" w:space="0"/>
              <w:bottom w:val="single" w:color="auto" w:sz="8" w:space="0"/>
              <w:right w:val="single" w:color="auto" w:sz="4" w:space="0"/>
            </w:tcBorders>
            <w:noWrap w:val="0"/>
            <w:vAlign w:val="center"/>
          </w:tcPr>
          <w:p w14:paraId="7DA94F27">
            <w:pPr>
              <w:keepNext w:val="0"/>
              <w:keepLines w:val="0"/>
              <w:pageBreakBefore w:val="0"/>
              <w:kinsoku/>
              <w:wordWrap/>
              <w:overflowPunct/>
              <w:topLinePunct w:val="0"/>
              <w:autoSpaceDE/>
              <w:autoSpaceDN/>
              <w:bidi w:val="0"/>
              <w:adjustRightInd/>
              <w:snapToGrid/>
              <w:spacing w:line="350" w:lineRule="exact"/>
              <w:jc w:val="center"/>
              <w:textAlignment w:val="auto"/>
              <w:rPr>
                <w:rFonts w:hint="default" w:ascii="宋体" w:hAnsi="宋体" w:eastAsia="宋体" w:cs="宋体"/>
                <w:color w:val="auto"/>
                <w:kern w:val="0"/>
                <w:lang w:val="en-US" w:eastAsia="zh-CN"/>
              </w:rPr>
            </w:pPr>
            <w:r>
              <w:rPr>
                <w:rFonts w:hint="eastAsia" w:ascii="宋体" w:hAnsi="宋体" w:eastAsia="宋体" w:cs="宋体"/>
                <w:color w:val="auto"/>
                <w:kern w:val="0"/>
                <w:lang w:val="en-US" w:eastAsia="zh-CN"/>
              </w:rPr>
              <w:t>付款方式</w:t>
            </w:r>
          </w:p>
        </w:tc>
        <w:tc>
          <w:tcPr>
            <w:tcW w:w="8512" w:type="dxa"/>
            <w:tcBorders>
              <w:top w:val="single" w:color="auto" w:sz="8" w:space="0"/>
              <w:left w:val="single" w:color="auto" w:sz="4" w:space="0"/>
              <w:bottom w:val="single" w:color="auto" w:sz="8" w:space="0"/>
              <w:right w:val="single" w:color="auto" w:sz="8" w:space="0"/>
            </w:tcBorders>
            <w:noWrap w:val="0"/>
            <w:vAlign w:val="center"/>
          </w:tcPr>
          <w:p w14:paraId="1FDF8F13">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Cs w:val="21"/>
                <w:highlight w:val="none"/>
                <w:lang w:val="en-US" w:eastAsia="zh-CN"/>
              </w:rPr>
            </w:pPr>
            <w:r>
              <w:rPr>
                <w:rFonts w:hint="eastAsia"/>
                <w:color w:val="auto"/>
                <w:highlight w:val="none"/>
              </w:rPr>
              <w:t>整体供货安装完成且经招标人验收合格后付至验收合格货物总金额的95％，剩余5%为质保金，质保期（</w:t>
            </w:r>
            <w:r>
              <w:rPr>
                <w:rFonts w:hint="eastAsia"/>
                <w:color w:val="auto"/>
                <w:highlight w:val="none"/>
                <w:lang w:val="en-US" w:eastAsia="zh-CN"/>
              </w:rPr>
              <w:t>五年</w:t>
            </w:r>
            <w:r>
              <w:rPr>
                <w:rFonts w:hint="eastAsia"/>
                <w:color w:val="auto"/>
                <w:highlight w:val="none"/>
              </w:rPr>
              <w:t>，质保期自验收合格之日起计算）满后一次性无息付清。</w:t>
            </w:r>
            <w:r>
              <w:rPr>
                <w:rFonts w:hint="eastAsia"/>
                <w:color w:val="auto"/>
                <w:highlight w:val="none"/>
                <w:lang w:eastAsia="zh-CN"/>
              </w:rPr>
              <w:t>（</w:t>
            </w:r>
            <w:r>
              <w:rPr>
                <w:rFonts w:hint="eastAsia"/>
                <w:color w:val="auto"/>
                <w:highlight w:val="none"/>
                <w:lang w:val="en-US" w:eastAsia="zh-CN"/>
              </w:rPr>
              <w:t>中标单位须提供增值税专用发票，税率按投标时所报为准</w:t>
            </w:r>
            <w:r>
              <w:rPr>
                <w:rFonts w:hint="eastAsia"/>
                <w:color w:val="auto"/>
                <w:highlight w:val="none"/>
                <w:lang w:eastAsia="zh-CN"/>
              </w:rPr>
              <w:t>）</w:t>
            </w:r>
          </w:p>
        </w:tc>
      </w:tr>
      <w:tr w14:paraId="17C1C3C4">
        <w:tblPrEx>
          <w:tblCellMar>
            <w:top w:w="0" w:type="dxa"/>
            <w:left w:w="0" w:type="dxa"/>
            <w:bottom w:w="0" w:type="dxa"/>
            <w:right w:w="0" w:type="dxa"/>
          </w:tblCellMar>
        </w:tblPrEx>
        <w:trPr>
          <w:trHeight w:val="370" w:hRule="atLeast"/>
        </w:trPr>
        <w:tc>
          <w:tcPr>
            <w:tcW w:w="563" w:type="dxa"/>
            <w:tcBorders>
              <w:top w:val="single" w:color="auto" w:sz="4" w:space="0"/>
              <w:left w:val="single" w:color="auto" w:sz="8" w:space="0"/>
              <w:bottom w:val="single" w:color="auto" w:sz="4" w:space="0"/>
              <w:right w:val="single" w:color="auto" w:sz="8" w:space="0"/>
            </w:tcBorders>
            <w:noWrap w:val="0"/>
            <w:vAlign w:val="center"/>
          </w:tcPr>
          <w:p w14:paraId="195827CE">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lang w:val="en-US" w:eastAsia="zh-CN"/>
              </w:rPr>
            </w:pPr>
            <w:r>
              <w:rPr>
                <w:rFonts w:hint="eastAsia" w:ascii="宋体" w:hAnsi="宋体" w:eastAsia="宋体" w:cs="宋体"/>
                <w:color w:val="auto"/>
                <w:kern w:val="0"/>
                <w:lang w:val="en-US" w:eastAsia="zh-CN"/>
              </w:rPr>
              <w:t>13</w:t>
            </w:r>
          </w:p>
        </w:tc>
        <w:tc>
          <w:tcPr>
            <w:tcW w:w="1185" w:type="dxa"/>
            <w:tcBorders>
              <w:top w:val="single" w:color="auto" w:sz="4" w:space="0"/>
              <w:left w:val="single" w:color="auto" w:sz="4" w:space="0"/>
              <w:bottom w:val="single" w:color="auto" w:sz="4" w:space="0"/>
              <w:right w:val="single" w:color="auto" w:sz="4" w:space="0"/>
            </w:tcBorders>
            <w:noWrap w:val="0"/>
            <w:vAlign w:val="center"/>
          </w:tcPr>
          <w:p w14:paraId="73FB4DBC">
            <w:pPr>
              <w:keepNext w:val="0"/>
              <w:keepLines w:val="0"/>
              <w:pageBreakBefore w:val="0"/>
              <w:kinsoku/>
              <w:wordWrap/>
              <w:overflowPunct/>
              <w:topLinePunct w:val="0"/>
              <w:autoSpaceDE/>
              <w:autoSpaceDN/>
              <w:bidi w:val="0"/>
              <w:adjustRightInd/>
              <w:snapToGrid/>
              <w:spacing w:line="350" w:lineRule="exact"/>
              <w:jc w:val="center"/>
              <w:textAlignment w:val="auto"/>
              <w:rPr>
                <w:rFonts w:hint="eastAsia" w:ascii="宋体" w:hAnsi="宋体" w:eastAsia="宋体" w:cs="宋体"/>
                <w:color w:val="auto"/>
                <w:kern w:val="0"/>
                <w:lang w:eastAsia="zh-CN"/>
              </w:rPr>
            </w:pPr>
            <w:r>
              <w:rPr>
                <w:rFonts w:hint="eastAsia" w:ascii="宋体" w:hAnsi="宋体" w:eastAsia="宋体" w:cs="宋体"/>
                <w:color w:val="auto"/>
                <w:kern w:val="0"/>
                <w:lang w:eastAsia="zh-CN"/>
              </w:rPr>
              <w:t>相关费用</w:t>
            </w:r>
          </w:p>
        </w:tc>
        <w:tc>
          <w:tcPr>
            <w:tcW w:w="8512" w:type="dxa"/>
            <w:tcBorders>
              <w:top w:val="single" w:color="auto" w:sz="4" w:space="0"/>
              <w:left w:val="single" w:color="auto" w:sz="4" w:space="0"/>
              <w:bottom w:val="single" w:color="auto" w:sz="4" w:space="0"/>
              <w:right w:val="single" w:color="auto" w:sz="8" w:space="0"/>
            </w:tcBorders>
            <w:noWrap w:val="0"/>
            <w:vAlign w:val="center"/>
          </w:tcPr>
          <w:p w14:paraId="25EAB17E">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本工程招标代理费用</w:t>
            </w:r>
            <w:r>
              <w:rPr>
                <w:rFonts w:hint="eastAsia" w:ascii="宋体" w:hAnsi="宋体" w:cs="宋体"/>
                <w:color w:val="auto"/>
                <w:kern w:val="0"/>
                <w:szCs w:val="21"/>
                <w:highlight w:val="none"/>
                <w:lang w:val="en-US" w:eastAsia="zh-CN"/>
              </w:rPr>
              <w:t>3000</w:t>
            </w:r>
            <w:r>
              <w:rPr>
                <w:rFonts w:hint="eastAsia" w:ascii="宋体" w:hAnsi="宋体" w:eastAsia="宋体" w:cs="宋体"/>
                <w:color w:val="auto"/>
                <w:kern w:val="0"/>
                <w:szCs w:val="21"/>
                <w:highlight w:val="none"/>
                <w:lang w:val="en-US" w:eastAsia="zh-CN"/>
              </w:rPr>
              <w:t>元，评委费（如有）另计，以实际发生为准，上述费用含在投标让利中，不单独列项，由中标单位在领取中标通知书时一次性付清给代理机构</w:t>
            </w:r>
          </w:p>
        </w:tc>
      </w:tr>
      <w:tr w14:paraId="220FFB83">
        <w:tblPrEx>
          <w:tblCellMar>
            <w:top w:w="0" w:type="dxa"/>
            <w:left w:w="0" w:type="dxa"/>
            <w:bottom w:w="0" w:type="dxa"/>
            <w:right w:w="0" w:type="dxa"/>
          </w:tblCellMar>
        </w:tblPrEx>
        <w:trPr>
          <w:trHeight w:val="370" w:hRule="atLeast"/>
        </w:trPr>
        <w:tc>
          <w:tcPr>
            <w:tcW w:w="563" w:type="dxa"/>
            <w:tcBorders>
              <w:top w:val="single" w:color="auto" w:sz="4" w:space="0"/>
              <w:left w:val="single" w:color="auto" w:sz="8" w:space="0"/>
              <w:bottom w:val="single" w:color="auto" w:sz="4" w:space="0"/>
              <w:right w:val="single" w:color="auto" w:sz="8" w:space="0"/>
            </w:tcBorders>
            <w:noWrap w:val="0"/>
            <w:vAlign w:val="center"/>
          </w:tcPr>
          <w:p w14:paraId="50AEDCB1">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FF0000"/>
                <w:kern w:val="0"/>
                <w:lang w:val="en-US" w:eastAsia="zh-CN"/>
              </w:rPr>
            </w:pPr>
            <w:r>
              <w:rPr>
                <w:rFonts w:hint="eastAsia" w:ascii="宋体" w:hAnsi="宋体" w:eastAsia="宋体" w:cs="宋体"/>
                <w:color w:val="auto"/>
                <w:kern w:val="0"/>
                <w:lang w:val="en-US" w:eastAsia="zh-CN"/>
              </w:rPr>
              <w:t>14</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17CBBA">
            <w:pPr>
              <w:pStyle w:val="26"/>
              <w:keepNext w:val="0"/>
              <w:keepLines w:val="0"/>
              <w:pageBreakBefore w:val="0"/>
              <w:kinsoku/>
              <w:wordWrap/>
              <w:overflowPunct/>
              <w:topLinePunct w:val="0"/>
              <w:autoSpaceDE/>
              <w:autoSpaceDN/>
              <w:bidi w:val="0"/>
              <w:adjustRightInd/>
              <w:snapToGrid/>
              <w:spacing w:line="350" w:lineRule="exact"/>
              <w:jc w:val="center"/>
              <w:textAlignment w:val="auto"/>
              <w:rPr>
                <w:rFonts w:hint="eastAsia" w:ascii="宋体" w:hAnsi="宋体" w:eastAsia="宋体" w:cs="宋体"/>
                <w:b w:val="0"/>
                <w:bCs w:val="0"/>
                <w:color w:val="auto"/>
                <w:kern w:val="2"/>
                <w:sz w:val="21"/>
                <w:szCs w:val="21"/>
                <w:lang w:val="en-US" w:eastAsia="zh-CN" w:bidi="ar-SA"/>
              </w:rPr>
            </w:pPr>
            <w:r>
              <w:rPr>
                <w:rFonts w:hint="eastAsia" w:hAnsi="宋体" w:cs="宋体"/>
                <w:color w:val="auto"/>
                <w:szCs w:val="21"/>
              </w:rPr>
              <w:t>履约担保</w:t>
            </w:r>
          </w:p>
        </w:tc>
        <w:tc>
          <w:tcPr>
            <w:tcW w:w="8512" w:type="dxa"/>
            <w:tcBorders>
              <w:top w:val="single" w:color="auto" w:sz="4" w:space="0"/>
              <w:left w:val="single" w:color="auto" w:sz="4" w:space="0"/>
              <w:bottom w:val="single" w:color="auto" w:sz="4" w:space="0"/>
              <w:right w:val="single" w:color="auto" w:sz="8" w:space="0"/>
            </w:tcBorders>
            <w:shd w:val="clear" w:color="auto" w:fill="auto"/>
            <w:noWrap w:val="0"/>
            <w:vAlign w:val="center"/>
          </w:tcPr>
          <w:p w14:paraId="31895BFC">
            <w:pPr>
              <w:widowControl/>
              <w:spacing w:line="440" w:lineRule="exact"/>
              <w:rPr>
                <w:rFonts w:hint="eastAsia" w:ascii="宋体" w:hAnsi="宋体" w:eastAsia="宋体" w:cs="宋体"/>
                <w:b w:val="0"/>
                <w:bCs w:val="0"/>
                <w:color w:val="auto"/>
                <w:kern w:val="2"/>
                <w:sz w:val="21"/>
                <w:szCs w:val="21"/>
                <w:lang w:val="en-US" w:eastAsia="zh-CN" w:bidi="ar-SA"/>
              </w:rPr>
            </w:pPr>
            <w:r>
              <w:rPr>
                <w:rFonts w:hint="eastAsia" w:ascii="宋体" w:hAnsi="宋体" w:cs="宋体"/>
                <w:b w:val="0"/>
                <w:bCs w:val="0"/>
                <w:color w:val="auto"/>
                <w:szCs w:val="21"/>
                <w:highlight w:val="none"/>
                <w:lang w:val="en-US" w:eastAsia="zh-CN"/>
              </w:rPr>
              <w:t>不收取</w:t>
            </w:r>
          </w:p>
        </w:tc>
      </w:tr>
      <w:tr w14:paraId="7A8CA75A">
        <w:tblPrEx>
          <w:tblCellMar>
            <w:top w:w="0" w:type="dxa"/>
            <w:left w:w="0" w:type="dxa"/>
            <w:bottom w:w="0" w:type="dxa"/>
            <w:right w:w="0" w:type="dxa"/>
          </w:tblCellMar>
        </w:tblPrEx>
        <w:trPr>
          <w:trHeight w:val="370" w:hRule="atLeast"/>
        </w:trPr>
        <w:tc>
          <w:tcPr>
            <w:tcW w:w="563" w:type="dxa"/>
            <w:tcBorders>
              <w:top w:val="single" w:color="auto" w:sz="4" w:space="0"/>
              <w:left w:val="single" w:color="auto" w:sz="8" w:space="0"/>
              <w:bottom w:val="single" w:color="auto" w:sz="4" w:space="0"/>
              <w:right w:val="single" w:color="auto" w:sz="8" w:space="0"/>
            </w:tcBorders>
            <w:noWrap w:val="0"/>
            <w:vAlign w:val="center"/>
          </w:tcPr>
          <w:p w14:paraId="5EF443E9">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position w:val="6"/>
                <w:sz w:val="21"/>
                <w:szCs w:val="21"/>
                <w:highlight w:val="none"/>
                <w:u w:val="none"/>
                <w:lang w:val="en-US" w:eastAsia="zh-CN"/>
              </w:rPr>
            </w:pPr>
            <w:r>
              <w:rPr>
                <w:rFonts w:hint="eastAsia" w:ascii="宋体" w:hAnsi="宋体" w:cs="宋体"/>
                <w:color w:val="auto"/>
                <w:position w:val="6"/>
                <w:sz w:val="21"/>
                <w:szCs w:val="21"/>
                <w:highlight w:val="none"/>
                <w:u w:val="none"/>
                <w:lang w:val="en-US" w:eastAsia="zh-CN"/>
              </w:rPr>
              <w:t>15</w:t>
            </w:r>
          </w:p>
          <w:p w14:paraId="4C4F0836">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lang w:val="en-US" w:eastAsia="zh-CN"/>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0EAB89A7">
            <w:pPr>
              <w:keepNext w:val="0"/>
              <w:keepLines w:val="0"/>
              <w:pageBreakBefore w:val="0"/>
              <w:kinsoku/>
              <w:wordWrap/>
              <w:overflowPunct/>
              <w:topLinePunct w:val="0"/>
              <w:autoSpaceDE/>
              <w:autoSpaceDN/>
              <w:bidi w:val="0"/>
              <w:adjustRightInd/>
              <w:snapToGrid/>
              <w:spacing w:line="350" w:lineRule="exact"/>
              <w:jc w:val="center"/>
              <w:textAlignment w:val="auto"/>
              <w:rPr>
                <w:rFonts w:hint="eastAsia" w:ascii="宋体" w:hAnsi="宋体" w:eastAsia="宋体" w:cs="宋体"/>
                <w:color w:val="auto"/>
                <w:position w:val="6"/>
                <w:sz w:val="21"/>
                <w:szCs w:val="21"/>
                <w:highlight w:val="none"/>
                <w:u w:val="none"/>
                <w:lang w:val="en-US" w:eastAsia="zh-CN"/>
              </w:rPr>
            </w:pPr>
            <w:r>
              <w:rPr>
                <w:rFonts w:hint="eastAsia" w:ascii="宋体" w:hAnsi="宋体" w:eastAsia="宋体" w:cs="宋体"/>
                <w:color w:val="auto"/>
                <w:position w:val="6"/>
                <w:sz w:val="21"/>
                <w:szCs w:val="21"/>
                <w:highlight w:val="none"/>
                <w:u w:val="none"/>
                <w:lang w:val="en-US" w:eastAsia="zh-CN"/>
              </w:rPr>
              <w:t>项目其他</w:t>
            </w:r>
          </w:p>
          <w:p w14:paraId="077DE6B0">
            <w:pPr>
              <w:keepNext w:val="0"/>
              <w:keepLines w:val="0"/>
              <w:pageBreakBefore w:val="0"/>
              <w:kinsoku/>
              <w:wordWrap/>
              <w:overflowPunct/>
              <w:topLinePunct w:val="0"/>
              <w:autoSpaceDE/>
              <w:autoSpaceDN/>
              <w:bidi w:val="0"/>
              <w:adjustRightInd/>
              <w:snapToGrid/>
              <w:spacing w:line="350" w:lineRule="exact"/>
              <w:jc w:val="center"/>
              <w:textAlignment w:val="auto"/>
              <w:rPr>
                <w:rFonts w:hint="eastAsia" w:ascii="宋体" w:hAnsi="宋体" w:eastAsia="宋体" w:cs="宋体"/>
                <w:color w:val="auto"/>
                <w:position w:val="6"/>
                <w:sz w:val="21"/>
                <w:szCs w:val="21"/>
                <w:highlight w:val="none"/>
                <w:u w:val="none"/>
                <w:lang w:val="en-US" w:eastAsia="zh-CN"/>
              </w:rPr>
            </w:pPr>
            <w:r>
              <w:rPr>
                <w:rFonts w:hint="eastAsia" w:ascii="宋体" w:hAnsi="宋体" w:cs="宋体"/>
                <w:color w:val="auto"/>
                <w:position w:val="6"/>
                <w:sz w:val="21"/>
                <w:szCs w:val="21"/>
                <w:highlight w:val="none"/>
                <w:u w:val="none"/>
                <w:lang w:val="en-US" w:eastAsia="zh-CN"/>
              </w:rPr>
              <w:t xml:space="preserve"> </w:t>
            </w:r>
            <w:r>
              <w:rPr>
                <w:rFonts w:hint="eastAsia" w:ascii="宋体" w:hAnsi="宋体" w:eastAsia="宋体" w:cs="宋体"/>
                <w:color w:val="auto"/>
                <w:position w:val="6"/>
                <w:sz w:val="21"/>
                <w:szCs w:val="21"/>
                <w:highlight w:val="none"/>
                <w:u w:val="none"/>
                <w:lang w:val="en-US" w:eastAsia="zh-CN"/>
              </w:rPr>
              <w:t>相关要求</w:t>
            </w:r>
          </w:p>
          <w:p w14:paraId="560E7270">
            <w:pPr>
              <w:keepNext w:val="0"/>
              <w:keepLines w:val="0"/>
              <w:pageBreakBefore w:val="0"/>
              <w:kinsoku/>
              <w:wordWrap/>
              <w:overflowPunct/>
              <w:topLinePunct w:val="0"/>
              <w:autoSpaceDE/>
              <w:autoSpaceDN/>
              <w:bidi w:val="0"/>
              <w:adjustRightInd/>
              <w:snapToGrid/>
              <w:spacing w:line="350" w:lineRule="exact"/>
              <w:jc w:val="center"/>
              <w:textAlignment w:val="auto"/>
              <w:rPr>
                <w:rFonts w:hint="eastAsia" w:ascii="宋体" w:hAnsi="宋体" w:cs="宋体"/>
                <w:color w:val="auto"/>
                <w:kern w:val="0"/>
                <w:sz w:val="21"/>
                <w:szCs w:val="21"/>
                <w:highlight w:val="none"/>
                <w:lang w:val="en-US" w:eastAsia="zh-CN"/>
              </w:rPr>
            </w:pPr>
          </w:p>
        </w:tc>
        <w:tc>
          <w:tcPr>
            <w:tcW w:w="8512" w:type="dxa"/>
            <w:tcBorders>
              <w:top w:val="single" w:color="auto" w:sz="4" w:space="0"/>
              <w:left w:val="single" w:color="auto" w:sz="4" w:space="0"/>
              <w:bottom w:val="single" w:color="auto" w:sz="4" w:space="0"/>
              <w:right w:val="single" w:color="auto" w:sz="8" w:space="0"/>
            </w:tcBorders>
            <w:noWrap w:val="0"/>
            <w:vAlign w:val="center"/>
          </w:tcPr>
          <w:p w14:paraId="76B4EDE8">
            <w:pPr>
              <w:widowControl/>
              <w:spacing w:line="440" w:lineRule="exact"/>
              <w:rPr>
                <w:rFonts w:hint="eastAsia" w:ascii="宋体" w:hAnsi="宋体" w:eastAsia="宋体" w:cs="宋体"/>
                <w:b w:val="0"/>
                <w:bCs w:val="0"/>
                <w:color w:val="auto"/>
                <w:highlight w:val="none"/>
                <w:lang w:val="en-US" w:eastAsia="zh-CN"/>
              </w:rPr>
            </w:pPr>
            <w:r>
              <w:rPr>
                <w:rFonts w:hint="eastAsia" w:ascii="宋体" w:hAnsi="宋体" w:eastAsia="宋体" w:cs="宋体"/>
                <w:color w:val="auto"/>
                <w:position w:val="6"/>
                <w:sz w:val="21"/>
                <w:szCs w:val="21"/>
                <w:highlight w:val="none"/>
                <w:u w:val="none"/>
                <w:lang w:val="en-US" w:eastAsia="zh-CN"/>
              </w:rPr>
              <w:t>（</w:t>
            </w:r>
            <w:r>
              <w:rPr>
                <w:rFonts w:hint="eastAsia" w:ascii="宋体" w:hAnsi="宋体" w:eastAsia="宋体" w:cs="宋体"/>
                <w:b w:val="0"/>
                <w:bCs w:val="0"/>
                <w:color w:val="auto"/>
                <w:highlight w:val="none"/>
                <w:lang w:val="en-US" w:eastAsia="zh-CN"/>
              </w:rPr>
              <w:t>一）</w:t>
            </w:r>
            <w:r>
              <w:rPr>
                <w:rFonts w:hint="eastAsia" w:ascii="宋体" w:hAnsi="宋体" w:cs="宋体"/>
                <w:b w:val="0"/>
                <w:bCs w:val="0"/>
                <w:color w:val="auto"/>
                <w:highlight w:val="none"/>
                <w:lang w:val="en-US" w:eastAsia="zh-CN"/>
              </w:rPr>
              <w:t>中标后固定总价</w:t>
            </w:r>
            <w:r>
              <w:rPr>
                <w:rFonts w:hint="eastAsia" w:ascii="宋体" w:hAnsi="宋体" w:eastAsia="宋体" w:cs="宋体"/>
                <w:b w:val="0"/>
                <w:bCs w:val="0"/>
                <w:color w:val="auto"/>
                <w:highlight w:val="none"/>
                <w:lang w:val="en-US" w:eastAsia="zh-CN"/>
              </w:rPr>
              <w:t>不调整。</w:t>
            </w:r>
          </w:p>
          <w:p w14:paraId="258EEEB2">
            <w:pPr>
              <w:widowControl/>
              <w:spacing w:line="440" w:lineRule="exact"/>
              <w:rPr>
                <w:rFonts w:hint="eastAsia" w:ascii="宋体" w:hAnsi="宋体" w:eastAsia="宋体" w:cs="宋体"/>
                <w:color w:val="auto"/>
                <w:position w:val="6"/>
                <w:sz w:val="21"/>
                <w:szCs w:val="21"/>
                <w:highlight w:val="none"/>
                <w:u w:val="none"/>
                <w:lang w:val="en-US" w:eastAsia="zh-CN"/>
              </w:rPr>
            </w:pPr>
            <w:r>
              <w:rPr>
                <w:rFonts w:hint="eastAsia" w:ascii="宋体" w:hAnsi="宋体" w:eastAsia="宋体" w:cs="宋体"/>
                <w:b w:val="0"/>
                <w:bCs w:val="0"/>
                <w:color w:val="auto"/>
                <w:highlight w:val="none"/>
                <w:lang w:val="en-US" w:eastAsia="zh-CN"/>
              </w:rPr>
              <w:t>（二）投标人自行勘察现场，地形条件、周边交通等因素由投标人综合考虑在报价中，后期不得以任何理由要求调整费用。</w:t>
            </w:r>
          </w:p>
        </w:tc>
      </w:tr>
      <w:tr w14:paraId="7CA20780">
        <w:tblPrEx>
          <w:tblCellMar>
            <w:top w:w="0" w:type="dxa"/>
            <w:left w:w="0" w:type="dxa"/>
            <w:bottom w:w="0" w:type="dxa"/>
            <w:right w:w="0" w:type="dxa"/>
          </w:tblCellMar>
        </w:tblPrEx>
        <w:trPr>
          <w:trHeight w:val="370" w:hRule="atLeast"/>
        </w:trPr>
        <w:tc>
          <w:tcPr>
            <w:tcW w:w="563" w:type="dxa"/>
            <w:tcBorders>
              <w:top w:val="single" w:color="auto" w:sz="4" w:space="0"/>
              <w:left w:val="single" w:color="auto" w:sz="8" w:space="0"/>
              <w:bottom w:val="single" w:color="auto" w:sz="4" w:space="0"/>
              <w:right w:val="single" w:color="auto" w:sz="8" w:space="0"/>
            </w:tcBorders>
            <w:noWrap w:val="0"/>
            <w:vAlign w:val="center"/>
          </w:tcPr>
          <w:p w14:paraId="5CED5297">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kern w:val="0"/>
                <w:lang w:val="en-US" w:eastAsia="zh-CN"/>
              </w:rPr>
            </w:pPr>
            <w:r>
              <w:rPr>
                <w:rFonts w:hint="eastAsia" w:ascii="宋体" w:hAnsi="宋体" w:cs="宋体"/>
                <w:color w:val="auto"/>
                <w:kern w:val="0"/>
                <w:lang w:val="en-US" w:eastAsia="zh-CN"/>
              </w:rPr>
              <w:t>16</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9A156A">
            <w:pPr>
              <w:widowControl/>
              <w:spacing w:line="440" w:lineRule="exact"/>
              <w:jc w:val="cente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解释权</w:t>
            </w:r>
          </w:p>
        </w:tc>
        <w:tc>
          <w:tcPr>
            <w:tcW w:w="8512" w:type="dxa"/>
            <w:tcBorders>
              <w:top w:val="single" w:color="auto" w:sz="4" w:space="0"/>
              <w:left w:val="single" w:color="auto" w:sz="4" w:space="0"/>
              <w:bottom w:val="single" w:color="auto" w:sz="4" w:space="0"/>
              <w:right w:val="single" w:color="auto" w:sz="8" w:space="0"/>
            </w:tcBorders>
            <w:shd w:val="clear" w:color="auto" w:fill="auto"/>
            <w:noWrap w:val="0"/>
            <w:vAlign w:val="center"/>
          </w:tcPr>
          <w:p w14:paraId="2B1D6A5A">
            <w:pPr>
              <w:widowControl/>
              <w:spacing w:line="440" w:lineRule="exact"/>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1、构成本招标文件的各个组成文件应互为解释，互为说明；</w:t>
            </w:r>
          </w:p>
          <w:p w14:paraId="0957139F">
            <w:pPr>
              <w:widowControl/>
              <w:spacing w:line="440" w:lineRule="exact"/>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2、同一组成文件中就同一事项的规定或约定不一致的，以编排顺序在后者为准；</w:t>
            </w:r>
          </w:p>
          <w:p w14:paraId="2F495CAD">
            <w:pPr>
              <w:widowControl/>
              <w:spacing w:line="440" w:lineRule="exact"/>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3、如有不明确或不一致，构成合同文件组成内容的，以合同文件约定内容为准，且以专用合同条款约定的合同文件优先顺序解释；</w:t>
            </w:r>
          </w:p>
          <w:p w14:paraId="5B7B6087">
            <w:pPr>
              <w:widowControl/>
              <w:spacing w:line="440" w:lineRule="exact"/>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4、按本款前述规定仍不能形成结论的，由招标人负责解释。</w:t>
            </w:r>
          </w:p>
        </w:tc>
      </w:tr>
      <w:tr w14:paraId="04001C26">
        <w:tblPrEx>
          <w:tblCellMar>
            <w:top w:w="0" w:type="dxa"/>
            <w:left w:w="0" w:type="dxa"/>
            <w:bottom w:w="0" w:type="dxa"/>
            <w:right w:w="0" w:type="dxa"/>
          </w:tblCellMar>
        </w:tblPrEx>
        <w:trPr>
          <w:trHeight w:val="370" w:hRule="atLeast"/>
        </w:trPr>
        <w:tc>
          <w:tcPr>
            <w:tcW w:w="10260" w:type="dxa"/>
            <w:gridSpan w:val="3"/>
            <w:tcBorders>
              <w:top w:val="single" w:color="auto" w:sz="4" w:space="0"/>
              <w:left w:val="single" w:color="auto" w:sz="8" w:space="0"/>
              <w:bottom w:val="single" w:color="auto" w:sz="4" w:space="0"/>
              <w:right w:val="single" w:color="auto" w:sz="8" w:space="0"/>
            </w:tcBorders>
            <w:shd w:val="clear" w:color="auto" w:fill="auto"/>
            <w:noWrap w:val="0"/>
            <w:vAlign w:val="center"/>
          </w:tcPr>
          <w:p w14:paraId="17AB8CD7">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bidi="ar-SA"/>
              </w:rPr>
              <w:t>1.请于公告发布之日起从滁州市城投工程咨询管理有限公司网站（https://www.czctgczx.com/），点击项目招标公告下方【我要投标】，登录新点电子交易平台后在【滁州专区】（https://www.etrading.cn/BREpointSSO/login/oauth2login?regioncode=DQ_ChuZhou）下载本项目招标文件。投标人自行承担因未按要求获取招标文件导致无法上传电子投标文件的风险。</w:t>
            </w:r>
          </w:p>
          <w:p w14:paraId="7F9CD8C6">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bidi="ar-SA"/>
              </w:rPr>
              <w:t>2.投标人须登录新点电子交易平台【滁州专区】查询、获取招标文件。首次登录办理入库手续，办理入库不收取任何费用。新点电子招投标统一认证平台使用相关问题（如系统登录、信息登记、录入及提交、数字证书关联等）请拨打服务电话：4009280095-5（工作日）。 </w:t>
            </w:r>
          </w:p>
          <w:p w14:paraId="6172EC16">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bidi="ar-SA"/>
              </w:rPr>
              <w:t>3.投标人登录新点电子交易平台【滁州专区】获取招标文件及其它资料（含澄清和补充说明等）。如在招标文件获取过程中遇到系统问题，请拨打技术支持服务热线4009280095或者网站首页在线客服。</w:t>
            </w:r>
          </w:p>
          <w:p w14:paraId="083A61A2">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bidi="ar-SA"/>
              </w:rPr>
              <w:t>4.本项目采用不见面开标，投标人登录滁州市城投工程咨询有限公司不见面开标系统参与网上开标（网址：http://js.etrading.cn/EpointBidOpening/bidopeninghallaction/hall/login）。</w:t>
            </w:r>
          </w:p>
          <w:p w14:paraId="27CE9A39">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bidi="ar-SA"/>
              </w:rPr>
              <w:t>5.投标人应在投标截止时间之前，登录新点电子交易平台【滁州专区】上传投标文件。投标人逾期上传投标文件的，电子系统不予受理。</w:t>
            </w:r>
          </w:p>
          <w:p w14:paraId="3A061FFE">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bidi="ar-SA"/>
              </w:rPr>
              <w:t>6.投标人的联系人电话(手机)、电子邮箱等通讯方式在开标过程中必须保持畅通，否则因上述原因造成的后果，责任自负。</w:t>
            </w:r>
          </w:p>
          <w:p w14:paraId="69F6E36C">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bidi="ar-SA"/>
              </w:rPr>
              <w:t>7.本项目采用电子招投标方式，请投标人在“新点电子交易平台”常用下载专区下载“新点电子交易平台专用投标文件制作软件”，仔细阅读招标文件要求和相关操作手册，以免影响投标文件编制，因投标人未及时关注相关信息对投标造成的不利后果由其自行承担。投标软件制作工具下载：https://download.bqpoint.com/download/downloaddetail.html?SourceFrom=Ztb&amp;ZtbSoftXiaQuCode=0128&amp;ZtbSoftType=tballinclusive。</w:t>
            </w:r>
          </w:p>
          <w:p w14:paraId="2F20C98A">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eastAsia="宋体" w:cs="Times New Roman"/>
                <w:kern w:val="2"/>
                <w:sz w:val="21"/>
                <w:szCs w:val="21"/>
                <w:lang w:val="en-US" w:eastAsia="zh-CN" w:bidi="ar-SA"/>
              </w:rPr>
            </w:pPr>
            <w:r>
              <w:rPr>
                <w:rFonts w:hint="eastAsia" w:ascii="宋体" w:hAnsi="宋体" w:eastAsia="宋体" w:cs="宋体"/>
                <w:kern w:val="0"/>
                <w:sz w:val="21"/>
                <w:szCs w:val="21"/>
                <w:highlight w:val="none"/>
                <w:lang w:val="en-US" w:eastAsia="zh-CN" w:bidi="ar-SA"/>
              </w:rPr>
              <w:t>8.本项目开评标实行全流程电子化，在线完成开评标活动。开标时投标人无需到达开标现场，不接受现场解密，实行远程解密和在线询标。各投标人认真学习《新点电子交易平台投标人操作手册》，务必掌握远程解密方法和在线回复询标方法。</w:t>
            </w:r>
          </w:p>
        </w:tc>
      </w:tr>
    </w:tbl>
    <w:p w14:paraId="5416319A">
      <w:pPr>
        <w:spacing w:line="360" w:lineRule="exact"/>
        <w:ind w:firstLine="3500" w:firstLineChars="1250"/>
        <w:rPr>
          <w:rFonts w:hint="eastAsia" w:ascii="宋体" w:hAnsi="宋体" w:eastAsia="宋体" w:cs="宋体"/>
          <w:bCs/>
          <w:color w:val="auto"/>
          <w:sz w:val="28"/>
          <w:szCs w:val="28"/>
        </w:rPr>
      </w:pPr>
    </w:p>
    <w:p w14:paraId="1CD26315">
      <w:pPr>
        <w:pStyle w:val="3"/>
        <w:spacing w:before="0" w:after="0"/>
        <w:rPr>
          <w:rFonts w:hint="eastAsia" w:ascii="宋体" w:hAnsi="宋体" w:eastAsia="宋体" w:cs="宋体"/>
          <w:color w:val="auto"/>
          <w:highlight w:val="none"/>
        </w:rPr>
      </w:pPr>
    </w:p>
    <w:p w14:paraId="6F6875F8">
      <w:pPr>
        <w:pStyle w:val="3"/>
        <w:spacing w:before="0" w:after="0"/>
        <w:rPr>
          <w:rFonts w:hint="eastAsia" w:ascii="宋体" w:hAnsi="宋体" w:eastAsia="宋体" w:cs="宋体"/>
          <w:color w:val="auto"/>
          <w:highlight w:val="none"/>
        </w:rPr>
      </w:pPr>
      <w:bookmarkStart w:id="2" w:name="_Toc29248"/>
      <w:r>
        <w:rPr>
          <w:rFonts w:hint="eastAsia" w:ascii="宋体" w:hAnsi="宋体" w:eastAsia="宋体" w:cs="宋体"/>
          <w:color w:val="auto"/>
          <w:highlight w:val="none"/>
        </w:rPr>
        <w:t>第</w:t>
      </w:r>
      <w:r>
        <w:rPr>
          <w:rFonts w:hint="eastAsia" w:ascii="宋体" w:hAnsi="宋体" w:eastAsia="宋体" w:cs="宋体"/>
          <w:color w:val="auto"/>
          <w:highlight w:val="none"/>
          <w:lang w:val="en-US" w:eastAsia="zh-CN"/>
        </w:rPr>
        <w:t>一</w:t>
      </w:r>
      <w:r>
        <w:rPr>
          <w:rFonts w:hint="eastAsia" w:ascii="宋体" w:hAnsi="宋体" w:eastAsia="宋体" w:cs="宋体"/>
          <w:color w:val="auto"/>
          <w:highlight w:val="none"/>
        </w:rPr>
        <w:t>章投标须知</w:t>
      </w:r>
      <w:bookmarkEnd w:id="1"/>
      <w:bookmarkEnd w:id="2"/>
    </w:p>
    <w:p w14:paraId="4C9A1375">
      <w:pPr>
        <w:spacing w:line="400" w:lineRule="exact"/>
        <w:jc w:val="center"/>
        <w:outlineLvl w:val="1"/>
        <w:rPr>
          <w:rFonts w:hint="eastAsia" w:ascii="宋体" w:hAnsi="宋体" w:eastAsia="宋体" w:cs="宋体"/>
          <w:b/>
          <w:bCs/>
          <w:color w:val="auto"/>
          <w:sz w:val="28"/>
          <w:highlight w:val="none"/>
        </w:rPr>
      </w:pPr>
      <w:bookmarkStart w:id="3" w:name="_Toc515"/>
      <w:r>
        <w:rPr>
          <w:rFonts w:hint="eastAsia" w:ascii="宋体" w:hAnsi="宋体" w:eastAsia="宋体" w:cs="宋体"/>
          <w:b/>
          <w:bCs/>
          <w:color w:val="auto"/>
          <w:sz w:val="28"/>
          <w:highlight w:val="none"/>
        </w:rPr>
        <w:t>一、总  则</w:t>
      </w:r>
      <w:bookmarkEnd w:id="3"/>
    </w:p>
    <w:p w14:paraId="10F9BD4D">
      <w:pPr>
        <w:keepNext w:val="0"/>
        <w:keepLines w:val="0"/>
        <w:pageBreakBefore w:val="0"/>
        <w:widowControl w:val="0"/>
        <w:kinsoku/>
        <w:wordWrap/>
        <w:overflowPunct/>
        <w:topLinePunct w:val="0"/>
        <w:autoSpaceDE/>
        <w:autoSpaceDN/>
        <w:bidi w:val="0"/>
        <w:adjustRightInd/>
        <w:snapToGrid/>
        <w:spacing w:line="510" w:lineRule="exact"/>
        <w:ind w:left="0" w:leftChars="0"/>
        <w:jc w:val="left"/>
        <w:textAlignment w:val="auto"/>
        <w:outlineLvl w:val="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1.工程概况</w:t>
      </w:r>
    </w:p>
    <w:p w14:paraId="6F0EFCB6">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rPr>
        <w:t>1.1本次招标</w:t>
      </w:r>
      <w:r>
        <w:rPr>
          <w:rFonts w:hint="eastAsia" w:ascii="宋体" w:hAnsi="宋体" w:eastAsia="宋体" w:cs="宋体"/>
          <w:color w:val="auto"/>
          <w:sz w:val="21"/>
          <w:szCs w:val="21"/>
          <w:highlight w:val="none"/>
          <w:lang w:val="en-US" w:eastAsia="zh-CN"/>
        </w:rPr>
        <w:t>项目</w:t>
      </w:r>
      <w:r>
        <w:rPr>
          <w:rFonts w:hint="eastAsia" w:ascii="宋体" w:hAnsi="宋体" w:eastAsia="宋体" w:cs="宋体"/>
          <w:color w:val="auto"/>
          <w:sz w:val="21"/>
          <w:szCs w:val="21"/>
          <w:highlight w:val="none"/>
        </w:rPr>
        <w:t>名称：</w:t>
      </w:r>
      <w:r>
        <w:rPr>
          <w:rFonts w:hint="eastAsia" w:ascii="宋体" w:hAnsi="宋体" w:cs="宋体"/>
          <w:color w:val="auto"/>
          <w:sz w:val="21"/>
          <w:szCs w:val="21"/>
          <w:highlight w:val="none"/>
          <w:lang w:eastAsia="zh-CN"/>
        </w:rPr>
        <w:t>工投高新科技园项目14号厂房电力工程</w:t>
      </w:r>
      <w:r>
        <w:rPr>
          <w:rFonts w:hint="eastAsia" w:ascii="宋体" w:hAnsi="宋体" w:eastAsia="宋体" w:cs="宋体"/>
          <w:color w:val="auto"/>
          <w:sz w:val="21"/>
          <w:szCs w:val="21"/>
          <w:highlight w:val="none"/>
        </w:rPr>
        <w:t xml:space="preserve"> </w:t>
      </w:r>
    </w:p>
    <w:p w14:paraId="24A206ED">
      <w:pPr>
        <w:keepNext w:val="0"/>
        <w:keepLines w:val="0"/>
        <w:pageBreakBefore w:val="0"/>
        <w:widowControl w:val="0"/>
        <w:kinsoku/>
        <w:wordWrap/>
        <w:overflowPunct/>
        <w:topLinePunct w:val="0"/>
        <w:autoSpaceDE/>
        <w:autoSpaceDN/>
        <w:bidi w:val="0"/>
        <w:adjustRightInd/>
        <w:snapToGrid/>
        <w:spacing w:line="510" w:lineRule="exact"/>
        <w:ind w:left="1050" w:leftChars="0" w:hanging="1050" w:hangingChars="5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工程地址：</w:t>
      </w:r>
      <w:r>
        <w:rPr>
          <w:rFonts w:hint="eastAsia" w:ascii="宋体" w:hAnsi="宋体" w:eastAsia="宋体" w:cs="宋体"/>
          <w:color w:val="auto"/>
          <w:sz w:val="21"/>
          <w:szCs w:val="21"/>
          <w:highlight w:val="none"/>
          <w:u w:val="single"/>
        </w:rPr>
        <w:t>滁州市</w:t>
      </w:r>
      <w:r>
        <w:rPr>
          <w:rFonts w:hint="eastAsia" w:ascii="宋体" w:hAnsi="宋体" w:eastAsia="宋体" w:cs="宋体"/>
          <w:color w:val="auto"/>
          <w:sz w:val="21"/>
          <w:szCs w:val="21"/>
          <w:highlight w:val="none"/>
          <w:u w:val="single"/>
          <w:lang w:val="en-US" w:eastAsia="zh-CN"/>
        </w:rPr>
        <w:t>内</w:t>
      </w:r>
    </w:p>
    <w:p w14:paraId="6BCEA7F2">
      <w:pPr>
        <w:keepNext w:val="0"/>
        <w:keepLines w:val="0"/>
        <w:pageBreakBefore w:val="0"/>
        <w:widowControl w:val="0"/>
        <w:kinsoku/>
        <w:wordWrap/>
        <w:overflowPunct/>
        <w:topLinePunct w:val="0"/>
        <w:autoSpaceDE/>
        <w:autoSpaceDN/>
        <w:bidi w:val="0"/>
        <w:adjustRightInd/>
        <w:snapToGrid/>
        <w:spacing w:line="510" w:lineRule="exact"/>
        <w:jc w:val="left"/>
        <w:textAlignment w:val="auto"/>
        <w:rPr>
          <w:rFonts w:hint="eastAsia" w:ascii="宋体" w:hAnsi="宋体" w:eastAsia="宋体" w:cs="宋体"/>
          <w:color w:val="auto"/>
          <w:sz w:val="21"/>
          <w:szCs w:val="21"/>
          <w:highlight w:val="none"/>
          <w:u w:val="single"/>
          <w:lang w:eastAsia="zh-CN"/>
        </w:rPr>
      </w:pPr>
      <w:r>
        <w:rPr>
          <w:rFonts w:hint="eastAsia" w:ascii="宋体" w:hAnsi="宋体" w:cs="宋体"/>
          <w:color w:val="auto"/>
          <w:sz w:val="21"/>
          <w:szCs w:val="21"/>
          <w:highlight w:val="none"/>
          <w:lang w:val="en-US" w:eastAsia="zh-CN"/>
        </w:rPr>
        <w:t>1.2</w:t>
      </w:r>
      <w:r>
        <w:rPr>
          <w:rFonts w:hint="eastAsia" w:ascii="宋体" w:hAnsi="宋体" w:eastAsia="宋体" w:cs="宋体"/>
          <w:color w:val="auto"/>
          <w:sz w:val="21"/>
          <w:szCs w:val="21"/>
          <w:highlight w:val="none"/>
          <w:lang w:val="en-US" w:eastAsia="zh-CN"/>
        </w:rPr>
        <w:t>招标</w:t>
      </w:r>
      <w:r>
        <w:rPr>
          <w:rFonts w:hint="eastAsia" w:ascii="宋体" w:hAnsi="宋体" w:eastAsia="宋体" w:cs="宋体"/>
          <w:color w:val="auto"/>
          <w:sz w:val="21"/>
          <w:szCs w:val="21"/>
          <w:highlight w:val="none"/>
        </w:rPr>
        <w:t>单位：</w:t>
      </w:r>
      <w:r>
        <w:rPr>
          <w:rFonts w:hint="eastAsia" w:ascii="宋体" w:hAnsi="宋体" w:cs="宋体"/>
          <w:color w:val="auto"/>
          <w:szCs w:val="21"/>
          <w:u w:val="single"/>
          <w:lang w:eastAsia="zh-CN"/>
        </w:rPr>
        <w:t>滁州工投高新科技园有限公司</w:t>
      </w:r>
      <w:r>
        <w:rPr>
          <w:rFonts w:hint="eastAsia" w:ascii="宋体" w:hAnsi="宋体" w:eastAsia="宋体" w:cs="宋体"/>
          <w:color w:val="auto"/>
          <w:szCs w:val="21"/>
          <w:u w:val="single"/>
        </w:rPr>
        <w:t xml:space="preserve"> </w:t>
      </w:r>
    </w:p>
    <w:p w14:paraId="1C1FD521">
      <w:pPr>
        <w:keepNext w:val="0"/>
        <w:keepLines w:val="0"/>
        <w:pageBreakBefore w:val="0"/>
        <w:widowControl w:val="0"/>
        <w:kinsoku/>
        <w:wordWrap/>
        <w:overflowPunct/>
        <w:topLinePunct w:val="0"/>
        <w:autoSpaceDE/>
        <w:autoSpaceDN/>
        <w:bidi w:val="0"/>
        <w:spacing w:line="510" w:lineRule="exact"/>
        <w:jc w:val="left"/>
        <w:textAlignment w:val="auto"/>
        <w:outlineLvl w:val="2"/>
        <w:rPr>
          <w:rFonts w:hint="eastAsia" w:ascii="宋体" w:hAnsi="宋体" w:cs="宋体"/>
          <w:color w:val="auto"/>
          <w:sz w:val="21"/>
          <w:szCs w:val="21"/>
          <w:highlight w:val="none"/>
          <w:lang w:val="en-US" w:eastAsia="zh-CN"/>
        </w:rPr>
      </w:pPr>
      <w:r>
        <w:rPr>
          <w:rFonts w:hint="eastAsia" w:ascii="宋体" w:hAnsi="宋体" w:eastAsia="宋体" w:cs="宋体"/>
          <w:color w:val="auto"/>
          <w:sz w:val="21"/>
          <w:szCs w:val="21"/>
          <w:highlight w:val="none"/>
        </w:rPr>
        <w:t>1.</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本</w:t>
      </w:r>
      <w:r>
        <w:rPr>
          <w:rFonts w:hint="eastAsia" w:ascii="宋体" w:hAnsi="宋体" w:cs="宋体"/>
          <w:color w:val="auto"/>
          <w:sz w:val="21"/>
          <w:szCs w:val="21"/>
          <w:highlight w:val="none"/>
          <w:lang w:val="en-US" w:eastAsia="zh-CN"/>
        </w:rPr>
        <w:t>项目采购内容</w:t>
      </w:r>
      <w:r>
        <w:rPr>
          <w:rFonts w:hint="eastAsia" w:ascii="宋体" w:hAnsi="宋体" w:eastAsia="宋体" w:cs="宋体"/>
          <w:color w:val="auto"/>
          <w:sz w:val="21"/>
          <w:szCs w:val="21"/>
          <w:highlight w:val="none"/>
        </w:rPr>
        <w:t xml:space="preserve">：变压器及电缆采购及安装。 </w:t>
      </w:r>
      <w:r>
        <w:rPr>
          <w:rFonts w:hint="eastAsia" w:ascii="宋体" w:hAnsi="宋体" w:cs="宋体"/>
          <w:color w:val="auto"/>
          <w:sz w:val="21"/>
          <w:szCs w:val="21"/>
          <w:highlight w:val="none"/>
          <w:lang w:val="en-US" w:eastAsia="zh-CN"/>
        </w:rPr>
        <w:t xml:space="preserve"> </w:t>
      </w:r>
    </w:p>
    <w:p w14:paraId="4D30B020">
      <w:pPr>
        <w:keepNext w:val="0"/>
        <w:keepLines w:val="0"/>
        <w:pageBreakBefore w:val="0"/>
        <w:widowControl w:val="0"/>
        <w:kinsoku/>
        <w:wordWrap/>
        <w:overflowPunct/>
        <w:topLinePunct w:val="0"/>
        <w:autoSpaceDE/>
        <w:autoSpaceDN/>
        <w:bidi w:val="0"/>
        <w:spacing w:line="510" w:lineRule="exact"/>
        <w:jc w:val="left"/>
        <w:textAlignment w:val="auto"/>
        <w:outlineLvl w:val="2"/>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1.4</w:t>
      </w:r>
      <w:r>
        <w:rPr>
          <w:rFonts w:hint="eastAsia" w:ascii="宋体" w:hAnsi="宋体" w:eastAsia="宋体" w:cs="宋体"/>
          <w:color w:val="auto"/>
          <w:szCs w:val="21"/>
        </w:rPr>
        <w:t>本</w:t>
      </w:r>
      <w:r>
        <w:rPr>
          <w:rFonts w:hint="eastAsia" w:ascii="宋体" w:hAnsi="宋体" w:eastAsia="宋体" w:cs="宋体"/>
          <w:color w:val="auto"/>
          <w:szCs w:val="21"/>
          <w:lang w:val="en-US" w:eastAsia="zh-CN"/>
        </w:rPr>
        <w:t>项目估算价</w:t>
      </w:r>
      <w:r>
        <w:rPr>
          <w:rFonts w:hint="eastAsia" w:ascii="宋体" w:hAnsi="宋体" w:cs="宋体"/>
          <w:color w:val="auto"/>
          <w:szCs w:val="21"/>
          <w:lang w:val="en-US" w:eastAsia="zh-CN"/>
        </w:rPr>
        <w:t>945000.00元</w:t>
      </w:r>
    </w:p>
    <w:p w14:paraId="52F35130">
      <w:pPr>
        <w:keepNext w:val="0"/>
        <w:keepLines w:val="0"/>
        <w:pageBreakBefore w:val="0"/>
        <w:widowControl w:val="0"/>
        <w:kinsoku/>
        <w:wordWrap/>
        <w:overflowPunct/>
        <w:topLinePunct w:val="0"/>
        <w:autoSpaceDE/>
        <w:autoSpaceDN/>
        <w:bidi w:val="0"/>
        <w:spacing w:line="510" w:lineRule="exact"/>
        <w:jc w:val="left"/>
        <w:textAlignment w:val="auto"/>
        <w:outlineLvl w:val="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 招标范围</w:t>
      </w:r>
    </w:p>
    <w:p w14:paraId="1431CFFA">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2.1</w:t>
      </w:r>
      <w:r>
        <w:rPr>
          <w:rFonts w:hint="eastAsia" w:ascii="宋体" w:hAnsi="宋体" w:eastAsia="宋体" w:cs="宋体"/>
          <w:color w:val="auto"/>
          <w:kern w:val="0"/>
          <w:sz w:val="21"/>
          <w:szCs w:val="21"/>
          <w:lang w:val="en-US" w:eastAsia="zh-CN"/>
        </w:rPr>
        <w:t>变压器及电缆采购</w:t>
      </w:r>
      <w:r>
        <w:rPr>
          <w:rFonts w:hint="eastAsia" w:hAnsi="宋体" w:cs="宋体"/>
          <w:color w:val="auto"/>
          <w:kern w:val="0"/>
          <w:sz w:val="21"/>
          <w:szCs w:val="21"/>
          <w:lang w:val="en-US" w:eastAsia="zh-CN"/>
        </w:rPr>
        <w:t>及安装</w:t>
      </w:r>
      <w:r>
        <w:rPr>
          <w:rFonts w:hint="eastAsia" w:ascii="宋体" w:hAnsi="宋体" w:cs="宋体"/>
          <w:color w:val="auto"/>
          <w:sz w:val="21"/>
          <w:szCs w:val="21"/>
          <w:highlight w:val="none"/>
          <w:lang w:val="en-US" w:eastAsia="zh-CN"/>
        </w:rPr>
        <w:t>。</w:t>
      </w:r>
    </w:p>
    <w:p w14:paraId="408D209A">
      <w:pPr>
        <w:keepNext w:val="0"/>
        <w:keepLines w:val="0"/>
        <w:pageBreakBefore w:val="0"/>
        <w:widowControl w:val="0"/>
        <w:kinsoku/>
        <w:wordWrap/>
        <w:overflowPunct/>
        <w:topLinePunct w:val="0"/>
        <w:autoSpaceDE/>
        <w:autoSpaceDN/>
        <w:bidi w:val="0"/>
        <w:spacing w:line="510" w:lineRule="exact"/>
        <w:jc w:val="left"/>
        <w:textAlignment w:val="auto"/>
        <w:outlineLvl w:val="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3.承包方式</w:t>
      </w:r>
    </w:p>
    <w:p w14:paraId="2D6596F9">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3.1承包方式：</w:t>
      </w:r>
      <w:r>
        <w:rPr>
          <w:rFonts w:hint="eastAsia" w:ascii="宋体" w:hAnsi="宋体" w:eastAsia="宋体" w:cs="宋体"/>
          <w:color w:val="auto"/>
          <w:szCs w:val="21"/>
          <w:u w:val="single"/>
        </w:rPr>
        <w:t>总承包</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w:t>
      </w:r>
    </w:p>
    <w:p w14:paraId="02928788">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Cs w:val="21"/>
        </w:rPr>
      </w:pPr>
      <w:r>
        <w:rPr>
          <w:rFonts w:hint="eastAsia" w:ascii="宋体" w:hAnsi="宋体" w:eastAsia="宋体" w:cs="宋体"/>
          <w:color w:val="auto"/>
          <w:szCs w:val="21"/>
          <w:lang w:val="en-US" w:eastAsia="zh-CN"/>
        </w:rPr>
        <w:t>4.供货工期要求</w:t>
      </w:r>
    </w:p>
    <w:p w14:paraId="68BAFE6F">
      <w:pPr>
        <w:keepNext w:val="0"/>
        <w:keepLines w:val="0"/>
        <w:pageBreakBefore w:val="0"/>
        <w:kinsoku/>
        <w:wordWrap/>
        <w:overflowPunct/>
        <w:topLinePunct w:val="0"/>
        <w:autoSpaceDE/>
        <w:autoSpaceDN/>
        <w:bidi w:val="0"/>
        <w:adjustRightInd/>
        <w:snapToGrid/>
        <w:spacing w:line="360" w:lineRule="auto"/>
        <w:textAlignment w:val="auto"/>
        <w:rPr>
          <w:rFonts w:hint="default" w:ascii="宋体" w:hAnsi="宋体" w:eastAsia="宋体" w:cs="宋体"/>
          <w:color w:val="auto"/>
          <w:kern w:val="0"/>
          <w:szCs w:val="21"/>
          <w:highlight w:val="none"/>
          <w:lang w:val="en-US"/>
        </w:rPr>
      </w:pPr>
      <w:r>
        <w:rPr>
          <w:rFonts w:hint="eastAsia" w:ascii="宋体" w:hAnsi="宋体" w:eastAsia="宋体" w:cs="宋体"/>
          <w:color w:val="auto"/>
          <w:szCs w:val="21"/>
          <w:lang w:val="en-US" w:eastAsia="zh-CN"/>
        </w:rPr>
        <w:t xml:space="preserve">4.1 </w:t>
      </w:r>
      <w:r>
        <w:rPr>
          <w:rFonts w:hint="eastAsia" w:ascii="宋体" w:hAnsi="宋体" w:eastAsia="宋体" w:cs="宋体"/>
          <w:color w:val="auto"/>
          <w:sz w:val="21"/>
          <w:szCs w:val="21"/>
          <w:highlight w:val="none"/>
          <w:lang w:val="en-US" w:eastAsia="zh-CN"/>
        </w:rPr>
        <w:t>详见《投标须知前附表》要求</w:t>
      </w:r>
      <w:r>
        <w:rPr>
          <w:rFonts w:hint="default" w:ascii="宋体" w:hAnsi="宋体" w:eastAsia="宋体" w:cs="宋体"/>
          <w:color w:val="auto"/>
          <w:kern w:val="0"/>
          <w:szCs w:val="21"/>
          <w:highlight w:val="none"/>
          <w:lang w:val="en-US"/>
        </w:rPr>
        <w:t>。</w:t>
      </w:r>
    </w:p>
    <w:p w14:paraId="0312AE0B">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bCs/>
          <w:color w:val="auto"/>
          <w:sz w:val="21"/>
          <w:szCs w:val="21"/>
          <w:highlight w:val="none"/>
        </w:rPr>
      </w:pPr>
      <w:r>
        <w:rPr>
          <w:rFonts w:hint="default" w:ascii="宋体" w:hAnsi="宋体" w:eastAsia="宋体" w:cs="宋体"/>
          <w:color w:val="auto"/>
          <w:kern w:val="0"/>
          <w:szCs w:val="21"/>
          <w:highlight w:val="none"/>
          <w:lang w:val="en-US"/>
        </w:rPr>
        <w:t xml:space="preserve"> （二）若中标人未能按招标人要求的供货时间供货的，招标人有权解除合同并向中标人追偿损失。</w:t>
      </w:r>
    </w:p>
    <w:p w14:paraId="07BAC4A8">
      <w:pPr>
        <w:keepNext w:val="0"/>
        <w:keepLines w:val="0"/>
        <w:pageBreakBefore w:val="0"/>
        <w:kinsoku/>
        <w:wordWrap/>
        <w:overflowPunct/>
        <w:topLinePunct w:val="0"/>
        <w:autoSpaceDE/>
        <w:autoSpaceDN/>
        <w:bidi w:val="0"/>
        <w:adjustRightInd/>
        <w:snapToGrid/>
        <w:spacing w:line="440" w:lineRule="exact"/>
        <w:jc w:val="left"/>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5.质量要求</w:t>
      </w:r>
    </w:p>
    <w:p w14:paraId="110C5C7A">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Cs w:val="21"/>
          <w:lang w:val="en-US" w:eastAsia="zh-CN"/>
        </w:rPr>
        <w:t>5.1</w:t>
      </w:r>
      <w:r>
        <w:rPr>
          <w:rFonts w:hint="eastAsia" w:ascii="宋体" w:hAnsi="宋体" w:eastAsia="宋体" w:cs="宋体"/>
          <w:color w:val="auto"/>
          <w:sz w:val="21"/>
          <w:szCs w:val="21"/>
          <w:highlight w:val="none"/>
          <w:lang w:val="en-US" w:eastAsia="zh-CN"/>
        </w:rPr>
        <w:t>详见《投标须知前附表》要求</w:t>
      </w:r>
      <w:r>
        <w:rPr>
          <w:rFonts w:hint="eastAsia" w:ascii="宋体" w:hAnsi="宋体" w:eastAsia="宋体" w:cs="宋体"/>
          <w:color w:val="auto"/>
          <w:sz w:val="21"/>
          <w:szCs w:val="21"/>
          <w:highlight w:val="none"/>
        </w:rPr>
        <w:t>。</w:t>
      </w:r>
    </w:p>
    <w:p w14:paraId="7C9EC063">
      <w:pPr>
        <w:keepNext w:val="0"/>
        <w:keepLines w:val="0"/>
        <w:pageBreakBefore w:val="0"/>
        <w:widowControl w:val="0"/>
        <w:kinsoku/>
        <w:wordWrap/>
        <w:overflowPunct/>
        <w:topLinePunct w:val="0"/>
        <w:autoSpaceDE/>
        <w:autoSpaceDN/>
        <w:bidi w:val="0"/>
        <w:spacing w:line="510" w:lineRule="exact"/>
        <w:jc w:val="left"/>
        <w:textAlignment w:val="auto"/>
        <w:outlineLvl w:val="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6.投标人资质等级要求</w:t>
      </w:r>
    </w:p>
    <w:p w14:paraId="0F6BEEFF">
      <w:pPr>
        <w:keepNext w:val="0"/>
        <w:keepLines w:val="0"/>
        <w:pageBreakBefore w:val="0"/>
        <w:widowControl w:val="0"/>
        <w:kinsoku/>
        <w:wordWrap/>
        <w:overflowPunct/>
        <w:topLinePunct w:val="0"/>
        <w:autoSpaceDE/>
        <w:autoSpaceDN/>
        <w:bidi w:val="0"/>
        <w:spacing w:line="510" w:lineRule="exact"/>
        <w:jc w:val="left"/>
        <w:textAlignment w:val="auto"/>
        <w:outlineLvl w:val="2"/>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详见《投标须知前附表》要求。</w:t>
      </w:r>
    </w:p>
    <w:p w14:paraId="48D2FBD1">
      <w:pPr>
        <w:keepNext w:val="0"/>
        <w:keepLines w:val="0"/>
        <w:pageBreakBefore w:val="0"/>
        <w:widowControl w:val="0"/>
        <w:kinsoku/>
        <w:wordWrap/>
        <w:overflowPunct/>
        <w:topLinePunct w:val="0"/>
        <w:autoSpaceDE/>
        <w:autoSpaceDN/>
        <w:bidi w:val="0"/>
        <w:spacing w:line="510" w:lineRule="exact"/>
        <w:jc w:val="left"/>
        <w:textAlignment w:val="auto"/>
        <w:outlineLvl w:val="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7.资金来源</w:t>
      </w:r>
    </w:p>
    <w:p w14:paraId="16621F3D">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7.1资金来源：</w:t>
      </w:r>
      <w:r>
        <w:rPr>
          <w:rFonts w:hint="eastAsia" w:ascii="宋体" w:hAnsi="宋体" w:eastAsia="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自筹</w:t>
      </w:r>
      <w:r>
        <w:rPr>
          <w:rFonts w:hint="eastAsia" w:ascii="宋体" w:hAnsi="宋体" w:eastAsia="宋体" w:cs="宋体"/>
          <w:color w:val="auto"/>
          <w:sz w:val="21"/>
          <w:szCs w:val="21"/>
          <w:highlight w:val="none"/>
          <w:u w:val="single"/>
        </w:rPr>
        <w:t xml:space="preserve">资金 </w:t>
      </w:r>
      <w:r>
        <w:rPr>
          <w:rFonts w:hint="eastAsia" w:ascii="宋体" w:hAnsi="宋体" w:eastAsia="宋体" w:cs="宋体"/>
          <w:color w:val="auto"/>
          <w:sz w:val="21"/>
          <w:szCs w:val="21"/>
          <w:highlight w:val="none"/>
        </w:rPr>
        <w:t>；资金已落实。</w:t>
      </w:r>
    </w:p>
    <w:p w14:paraId="6D4046E6">
      <w:pPr>
        <w:keepNext w:val="0"/>
        <w:keepLines w:val="0"/>
        <w:pageBreakBefore w:val="0"/>
        <w:widowControl w:val="0"/>
        <w:kinsoku/>
        <w:wordWrap/>
        <w:overflowPunct/>
        <w:topLinePunct w:val="0"/>
        <w:autoSpaceDE/>
        <w:autoSpaceDN/>
        <w:bidi w:val="0"/>
        <w:spacing w:line="510" w:lineRule="exact"/>
        <w:jc w:val="left"/>
        <w:textAlignment w:val="auto"/>
        <w:outlineLvl w:val="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8.标段划分</w:t>
      </w:r>
    </w:p>
    <w:p w14:paraId="555A0B78">
      <w:pPr>
        <w:keepNext w:val="0"/>
        <w:keepLines w:val="0"/>
        <w:pageBreakBefore w:val="0"/>
        <w:widowControl w:val="0"/>
        <w:kinsoku/>
        <w:wordWrap/>
        <w:overflowPunct/>
        <w:topLinePunct w:val="0"/>
        <w:autoSpaceDE/>
        <w:autoSpaceDN/>
        <w:bidi w:val="0"/>
        <w:spacing w:line="510" w:lineRule="exact"/>
        <w:ind w:right="-155" w:rightChars="-74"/>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8.1该工程划分：</w:t>
      </w:r>
      <w:r>
        <w:rPr>
          <w:rFonts w:hint="eastAsia" w:ascii="宋体" w:hAnsi="宋体" w:eastAsia="宋体" w:cs="宋体"/>
          <w:color w:val="auto"/>
          <w:sz w:val="21"/>
          <w:szCs w:val="21"/>
          <w:highlight w:val="none"/>
          <w:u w:val="single"/>
        </w:rPr>
        <w:t xml:space="preserve"> 一 </w:t>
      </w:r>
      <w:r>
        <w:rPr>
          <w:rFonts w:hint="eastAsia" w:ascii="宋体" w:hAnsi="宋体" w:eastAsia="宋体" w:cs="宋体"/>
          <w:color w:val="auto"/>
          <w:sz w:val="21"/>
          <w:szCs w:val="21"/>
          <w:highlight w:val="none"/>
        </w:rPr>
        <w:t xml:space="preserve">个标段  </w:t>
      </w:r>
    </w:p>
    <w:p w14:paraId="29C1A234">
      <w:pPr>
        <w:keepNext w:val="0"/>
        <w:keepLines w:val="0"/>
        <w:pageBreakBefore w:val="0"/>
        <w:widowControl w:val="0"/>
        <w:kinsoku/>
        <w:wordWrap/>
        <w:overflowPunct/>
        <w:topLinePunct w:val="0"/>
        <w:autoSpaceDE/>
        <w:autoSpaceDN/>
        <w:bidi w:val="0"/>
        <w:spacing w:line="510" w:lineRule="exact"/>
        <w:jc w:val="left"/>
        <w:textAlignment w:val="auto"/>
        <w:outlineLvl w:val="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9.招标方式</w:t>
      </w:r>
    </w:p>
    <w:p w14:paraId="615B2A75">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9.1本工程招标方式：</w:t>
      </w:r>
      <w:r>
        <w:rPr>
          <w:rFonts w:hint="eastAsia" w:ascii="宋体" w:hAnsi="宋体" w:eastAsia="宋体" w:cs="宋体"/>
          <w:color w:val="auto"/>
          <w:sz w:val="21"/>
          <w:szCs w:val="21"/>
          <w:highlight w:val="none"/>
          <w:u w:val="single"/>
        </w:rPr>
        <w:t xml:space="preserve"> 自行招标 </w:t>
      </w:r>
      <w:r>
        <w:rPr>
          <w:rFonts w:hint="eastAsia" w:ascii="宋体" w:hAnsi="宋体" w:eastAsia="宋体" w:cs="宋体"/>
          <w:color w:val="auto"/>
          <w:sz w:val="21"/>
          <w:szCs w:val="21"/>
          <w:highlight w:val="none"/>
        </w:rPr>
        <w:t>。</w:t>
      </w:r>
    </w:p>
    <w:p w14:paraId="1DE62D7A">
      <w:pPr>
        <w:keepNext w:val="0"/>
        <w:keepLines w:val="0"/>
        <w:pageBreakBefore w:val="0"/>
        <w:widowControl w:val="0"/>
        <w:kinsoku/>
        <w:wordWrap/>
        <w:overflowPunct/>
        <w:topLinePunct w:val="0"/>
        <w:autoSpaceDE/>
        <w:autoSpaceDN/>
        <w:bidi w:val="0"/>
        <w:spacing w:line="510" w:lineRule="exact"/>
        <w:jc w:val="left"/>
        <w:textAlignment w:val="auto"/>
        <w:outlineLvl w:val="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10.计价方式</w:t>
      </w:r>
    </w:p>
    <w:p w14:paraId="0BB05BA8">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10.1本工程合同计价方式：</w:t>
      </w:r>
      <w:r>
        <w:rPr>
          <w:rFonts w:hint="eastAsia" w:ascii="宋体" w:hAnsi="宋体" w:eastAsia="宋体" w:cs="宋体"/>
          <w:color w:val="auto"/>
          <w:sz w:val="21"/>
          <w:szCs w:val="21"/>
          <w:highlight w:val="none"/>
          <w:u w:val="single"/>
        </w:rPr>
        <w:t>固定</w:t>
      </w:r>
      <w:r>
        <w:rPr>
          <w:rFonts w:hint="eastAsia" w:ascii="宋体" w:hAnsi="宋体" w:cs="宋体"/>
          <w:color w:val="auto"/>
          <w:sz w:val="21"/>
          <w:szCs w:val="21"/>
          <w:highlight w:val="none"/>
          <w:u w:val="single"/>
          <w:lang w:val="en-US" w:eastAsia="zh-CN"/>
        </w:rPr>
        <w:t>总价</w:t>
      </w:r>
      <w:r>
        <w:rPr>
          <w:rFonts w:hint="eastAsia" w:ascii="宋体" w:hAnsi="宋体" w:eastAsia="宋体" w:cs="宋体"/>
          <w:color w:val="auto"/>
          <w:sz w:val="21"/>
          <w:szCs w:val="21"/>
          <w:highlight w:val="none"/>
        </w:rPr>
        <w:t>。</w:t>
      </w:r>
    </w:p>
    <w:p w14:paraId="23BE0D7A">
      <w:pPr>
        <w:keepNext w:val="0"/>
        <w:keepLines w:val="0"/>
        <w:pageBreakBefore w:val="0"/>
        <w:widowControl w:val="0"/>
        <w:kinsoku/>
        <w:wordWrap/>
        <w:overflowPunct/>
        <w:topLinePunct w:val="0"/>
        <w:autoSpaceDE/>
        <w:autoSpaceDN/>
        <w:bidi w:val="0"/>
        <w:spacing w:line="510" w:lineRule="exact"/>
        <w:jc w:val="left"/>
        <w:textAlignment w:val="auto"/>
        <w:outlineLvl w:val="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11.评标办法</w:t>
      </w:r>
    </w:p>
    <w:p w14:paraId="11B3B856">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11.1本工程评标办法：</w:t>
      </w:r>
      <w:r>
        <w:rPr>
          <w:rFonts w:hint="eastAsia" w:ascii="宋体" w:hAnsi="宋体" w:cs="宋体"/>
          <w:color w:val="auto"/>
          <w:sz w:val="21"/>
          <w:szCs w:val="21"/>
          <w:highlight w:val="none"/>
          <w:u w:val="single"/>
          <w:lang w:eastAsia="zh-CN"/>
        </w:rPr>
        <w:t>最低评标价法</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（详见第</w:t>
      </w:r>
      <w:r>
        <w:rPr>
          <w:rFonts w:hint="eastAsia" w:ascii="宋体" w:hAnsi="宋体" w:cs="宋体"/>
          <w:color w:val="auto"/>
          <w:sz w:val="21"/>
          <w:szCs w:val="21"/>
          <w:highlight w:val="none"/>
          <w:lang w:val="en-US" w:eastAsia="zh-CN"/>
        </w:rPr>
        <w:t>二</w:t>
      </w:r>
      <w:r>
        <w:rPr>
          <w:rFonts w:hint="eastAsia" w:ascii="宋体" w:hAnsi="宋体" w:eastAsia="宋体" w:cs="宋体"/>
          <w:color w:val="auto"/>
          <w:sz w:val="21"/>
          <w:szCs w:val="21"/>
          <w:highlight w:val="none"/>
        </w:rPr>
        <w:t>章评标办法）。</w:t>
      </w:r>
    </w:p>
    <w:p w14:paraId="19C792CF">
      <w:pPr>
        <w:keepNext w:val="0"/>
        <w:keepLines w:val="0"/>
        <w:pageBreakBefore w:val="0"/>
        <w:widowControl w:val="0"/>
        <w:kinsoku/>
        <w:wordWrap/>
        <w:overflowPunct/>
        <w:topLinePunct w:val="0"/>
        <w:autoSpaceDE/>
        <w:autoSpaceDN/>
        <w:bidi w:val="0"/>
        <w:spacing w:line="510" w:lineRule="exact"/>
        <w:jc w:val="center"/>
        <w:textAlignment w:val="auto"/>
        <w:outlineLvl w:val="1"/>
        <w:rPr>
          <w:rFonts w:hint="eastAsia" w:ascii="宋体" w:hAnsi="宋体" w:eastAsia="宋体" w:cs="宋体"/>
          <w:color w:val="auto"/>
          <w:sz w:val="28"/>
          <w:highlight w:val="none"/>
        </w:rPr>
      </w:pPr>
      <w:bookmarkStart w:id="4" w:name="_Toc29988"/>
    </w:p>
    <w:p w14:paraId="602A4F6F">
      <w:pPr>
        <w:keepNext w:val="0"/>
        <w:keepLines w:val="0"/>
        <w:pageBreakBefore w:val="0"/>
        <w:widowControl w:val="0"/>
        <w:kinsoku/>
        <w:wordWrap/>
        <w:overflowPunct/>
        <w:topLinePunct w:val="0"/>
        <w:autoSpaceDE/>
        <w:autoSpaceDN/>
        <w:bidi w:val="0"/>
        <w:spacing w:line="510" w:lineRule="exact"/>
        <w:jc w:val="center"/>
        <w:textAlignment w:val="auto"/>
        <w:outlineLvl w:val="1"/>
        <w:rPr>
          <w:rFonts w:hint="eastAsia" w:ascii="宋体" w:hAnsi="宋体" w:eastAsia="宋体" w:cs="宋体"/>
          <w:color w:val="auto"/>
          <w:sz w:val="28"/>
          <w:highlight w:val="none"/>
        </w:rPr>
      </w:pPr>
      <w:r>
        <w:rPr>
          <w:rFonts w:hint="eastAsia" w:ascii="宋体" w:hAnsi="宋体" w:eastAsia="宋体" w:cs="宋体"/>
          <w:color w:val="auto"/>
          <w:sz w:val="28"/>
          <w:highlight w:val="none"/>
        </w:rPr>
        <w:t>二、招标文件</w:t>
      </w:r>
      <w:bookmarkEnd w:id="4"/>
    </w:p>
    <w:p w14:paraId="5058B600">
      <w:pPr>
        <w:keepNext w:val="0"/>
        <w:keepLines w:val="0"/>
        <w:pageBreakBefore w:val="0"/>
        <w:widowControl w:val="0"/>
        <w:kinsoku/>
        <w:wordWrap/>
        <w:overflowPunct/>
        <w:topLinePunct w:val="0"/>
        <w:autoSpaceDE/>
        <w:autoSpaceDN/>
        <w:bidi w:val="0"/>
        <w:spacing w:line="510" w:lineRule="exact"/>
        <w:jc w:val="center"/>
        <w:textAlignment w:val="auto"/>
        <w:rPr>
          <w:rFonts w:hint="eastAsia" w:ascii="宋体" w:hAnsi="宋体" w:eastAsia="宋体" w:cs="宋体"/>
          <w:color w:val="auto"/>
          <w:sz w:val="28"/>
          <w:highlight w:val="none"/>
        </w:rPr>
      </w:pPr>
    </w:p>
    <w:p w14:paraId="75F8D2D1">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   招标文件的编制依据</w:t>
      </w:r>
    </w:p>
    <w:p w14:paraId="6CA59BA0">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12.1   根据《中华人民共和国招标投标法》、《工程建设项目施工招标投标办法》（七部委联合部令第30号）等相关法律法规和规章及部、省、市级规范性文件的规定，编制本招标文件。</w:t>
      </w:r>
    </w:p>
    <w:p w14:paraId="7801DC49">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13.</w:t>
      </w:r>
      <w:r>
        <w:rPr>
          <w:rFonts w:hint="eastAsia" w:ascii="宋体" w:hAnsi="宋体" w:eastAsia="宋体" w:cs="宋体"/>
          <w:bCs/>
          <w:color w:val="auto"/>
          <w:sz w:val="21"/>
          <w:szCs w:val="21"/>
          <w:highlight w:val="none"/>
        </w:rPr>
        <w:t>招标文件的组成</w:t>
      </w:r>
    </w:p>
    <w:p w14:paraId="0A32E5D3">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13.1  招标文件包括内容：</w:t>
      </w:r>
    </w:p>
    <w:p w14:paraId="116F9DD6">
      <w:pPr>
        <w:keepNext w:val="0"/>
        <w:keepLines w:val="0"/>
        <w:pageBreakBefore w:val="0"/>
        <w:widowControl w:val="0"/>
        <w:kinsoku/>
        <w:wordWrap/>
        <w:overflowPunct/>
        <w:topLinePunct w:val="0"/>
        <w:autoSpaceDE/>
        <w:autoSpaceDN/>
        <w:bidi w:val="0"/>
        <w:spacing w:line="510" w:lineRule="exact"/>
        <w:ind w:firstLine="1050" w:firstLineChars="5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第一章  投标须知</w:t>
      </w:r>
    </w:p>
    <w:p w14:paraId="2E1DC6E6">
      <w:pPr>
        <w:keepNext w:val="0"/>
        <w:keepLines w:val="0"/>
        <w:pageBreakBefore w:val="0"/>
        <w:widowControl w:val="0"/>
        <w:kinsoku/>
        <w:wordWrap/>
        <w:overflowPunct/>
        <w:topLinePunct w:val="0"/>
        <w:autoSpaceDE/>
        <w:autoSpaceDN/>
        <w:bidi w:val="0"/>
        <w:spacing w:line="510" w:lineRule="exact"/>
        <w:ind w:firstLine="1050" w:firstLineChars="500"/>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 xml:space="preserve">第二章  </w:t>
      </w:r>
      <w:r>
        <w:rPr>
          <w:rFonts w:hint="eastAsia" w:ascii="宋体" w:hAnsi="宋体" w:cs="宋体"/>
          <w:color w:val="auto"/>
          <w:sz w:val="21"/>
          <w:szCs w:val="21"/>
          <w:highlight w:val="none"/>
          <w:lang w:val="en-US" w:eastAsia="zh-CN"/>
        </w:rPr>
        <w:t>评标办法</w:t>
      </w:r>
    </w:p>
    <w:p w14:paraId="05EABB58">
      <w:pPr>
        <w:keepNext w:val="0"/>
        <w:keepLines w:val="0"/>
        <w:pageBreakBefore w:val="0"/>
        <w:widowControl w:val="0"/>
        <w:kinsoku/>
        <w:wordWrap/>
        <w:overflowPunct/>
        <w:topLinePunct w:val="0"/>
        <w:autoSpaceDE/>
        <w:autoSpaceDN/>
        <w:bidi w:val="0"/>
        <w:spacing w:line="510" w:lineRule="exact"/>
        <w:ind w:firstLine="1050" w:firstLineChars="500"/>
        <w:jc w:val="left"/>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第三章  服务要求</w:t>
      </w:r>
    </w:p>
    <w:p w14:paraId="60917EE1">
      <w:pPr>
        <w:keepNext w:val="0"/>
        <w:keepLines w:val="0"/>
        <w:pageBreakBefore w:val="0"/>
        <w:widowControl w:val="0"/>
        <w:kinsoku/>
        <w:wordWrap/>
        <w:overflowPunct/>
        <w:topLinePunct w:val="0"/>
        <w:autoSpaceDE/>
        <w:autoSpaceDN/>
        <w:bidi w:val="0"/>
        <w:spacing w:line="510" w:lineRule="exact"/>
        <w:ind w:firstLine="1050" w:firstLineChars="5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w:t>
      </w:r>
      <w:r>
        <w:rPr>
          <w:rFonts w:hint="eastAsia" w:ascii="宋体" w:hAnsi="宋体" w:cs="宋体"/>
          <w:color w:val="auto"/>
          <w:sz w:val="21"/>
          <w:szCs w:val="21"/>
          <w:highlight w:val="none"/>
          <w:lang w:val="en-US" w:eastAsia="zh-CN"/>
        </w:rPr>
        <w:t>四</w:t>
      </w:r>
      <w:r>
        <w:rPr>
          <w:rFonts w:hint="eastAsia" w:ascii="宋体" w:hAnsi="宋体" w:eastAsia="宋体" w:cs="宋体"/>
          <w:color w:val="auto"/>
          <w:sz w:val="21"/>
          <w:szCs w:val="21"/>
          <w:highlight w:val="none"/>
        </w:rPr>
        <w:t>章  合同条款</w:t>
      </w:r>
    </w:p>
    <w:p w14:paraId="3CD61608">
      <w:pPr>
        <w:keepNext w:val="0"/>
        <w:keepLines w:val="0"/>
        <w:pageBreakBefore w:val="0"/>
        <w:widowControl w:val="0"/>
        <w:kinsoku/>
        <w:wordWrap/>
        <w:overflowPunct/>
        <w:topLinePunct w:val="0"/>
        <w:autoSpaceDE/>
        <w:autoSpaceDN/>
        <w:bidi w:val="0"/>
        <w:spacing w:line="510" w:lineRule="exact"/>
        <w:ind w:firstLine="1050" w:firstLineChars="5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w:t>
      </w:r>
      <w:r>
        <w:rPr>
          <w:rFonts w:hint="eastAsia" w:ascii="宋体" w:hAnsi="宋体" w:cs="宋体"/>
          <w:color w:val="auto"/>
          <w:sz w:val="21"/>
          <w:szCs w:val="21"/>
          <w:highlight w:val="none"/>
          <w:lang w:val="en-US" w:eastAsia="zh-CN"/>
        </w:rPr>
        <w:t>五</w:t>
      </w:r>
      <w:r>
        <w:rPr>
          <w:rFonts w:hint="eastAsia" w:ascii="宋体" w:hAnsi="宋体" w:eastAsia="宋体" w:cs="宋体"/>
          <w:color w:val="auto"/>
          <w:sz w:val="21"/>
          <w:szCs w:val="21"/>
          <w:highlight w:val="none"/>
        </w:rPr>
        <w:t>章  投标文件格式</w:t>
      </w:r>
    </w:p>
    <w:p w14:paraId="469F004A">
      <w:pPr>
        <w:keepNext w:val="0"/>
        <w:keepLines w:val="0"/>
        <w:pageBreakBefore w:val="0"/>
        <w:widowControl w:val="0"/>
        <w:kinsoku/>
        <w:wordWrap/>
        <w:overflowPunct/>
        <w:topLinePunct w:val="0"/>
        <w:autoSpaceDE/>
        <w:autoSpaceDN/>
        <w:bidi w:val="0"/>
        <w:adjustRightInd w:val="0"/>
        <w:snapToGrid w:val="0"/>
        <w:spacing w:line="510" w:lineRule="exact"/>
        <w:ind w:firstLine="1050" w:firstLineChars="500"/>
        <w:textAlignment w:val="auto"/>
        <w:rPr>
          <w:rFonts w:hint="eastAsia" w:ascii="宋体" w:hAnsi="宋体" w:eastAsia="宋体" w:cs="宋体"/>
          <w:color w:val="auto"/>
          <w:spacing w:val="-20"/>
          <w:sz w:val="21"/>
          <w:szCs w:val="21"/>
          <w:highlight w:val="none"/>
        </w:rPr>
      </w:pPr>
      <w:r>
        <w:rPr>
          <w:rFonts w:hint="eastAsia" w:ascii="宋体" w:hAnsi="宋体" w:eastAsia="宋体" w:cs="宋体"/>
          <w:color w:val="auto"/>
          <w:sz w:val="21"/>
          <w:szCs w:val="21"/>
          <w:highlight w:val="none"/>
        </w:rPr>
        <w:t>第</w:t>
      </w:r>
      <w:r>
        <w:rPr>
          <w:rFonts w:hint="eastAsia" w:ascii="宋体" w:hAnsi="宋体" w:cs="宋体"/>
          <w:color w:val="auto"/>
          <w:sz w:val="21"/>
          <w:szCs w:val="21"/>
          <w:highlight w:val="none"/>
          <w:lang w:val="en-US" w:eastAsia="zh-CN"/>
        </w:rPr>
        <w:t>六</w:t>
      </w:r>
      <w:r>
        <w:rPr>
          <w:rFonts w:hint="eastAsia" w:ascii="宋体" w:hAnsi="宋体" w:eastAsia="宋体" w:cs="宋体"/>
          <w:color w:val="auto"/>
          <w:sz w:val="21"/>
          <w:szCs w:val="21"/>
          <w:highlight w:val="none"/>
        </w:rPr>
        <w:t>章  招标单位、招标代理机构对本招标文件的确认</w:t>
      </w:r>
    </w:p>
    <w:p w14:paraId="6F91BDE0">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13.2</w:t>
      </w:r>
      <w:r>
        <w:rPr>
          <w:rFonts w:hint="eastAsia" w:ascii="宋体" w:hAnsi="宋体" w:eastAsia="宋体" w:cs="宋体"/>
          <w:color w:val="auto"/>
          <w:spacing w:val="-10"/>
          <w:sz w:val="21"/>
          <w:szCs w:val="21"/>
          <w:highlight w:val="none"/>
        </w:rPr>
        <w:t>除13.1内容外，招标答疑亦为招标文件的组成部分，对招标人和投标人起约束作用。</w:t>
      </w:r>
    </w:p>
    <w:p w14:paraId="63AA4AA5">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13.3投标人应仔细检查招标文件的所有内容，</w:t>
      </w:r>
      <w:r>
        <w:rPr>
          <w:rFonts w:hint="eastAsia" w:ascii="宋体" w:hAnsi="宋体" w:eastAsia="宋体" w:cs="宋体"/>
          <w:bCs/>
          <w:color w:val="auto"/>
          <w:sz w:val="21"/>
          <w:szCs w:val="21"/>
          <w:highlight w:val="none"/>
        </w:rPr>
        <w:t>如有残缺等问题应在</w:t>
      </w:r>
      <w:r>
        <w:rPr>
          <w:rFonts w:hint="eastAsia" w:ascii="宋体" w:hAnsi="宋体" w:eastAsia="宋体" w:cs="宋体"/>
          <w:bCs/>
          <w:color w:val="auto"/>
          <w:sz w:val="21"/>
          <w:szCs w:val="21"/>
          <w:highlight w:val="none"/>
          <w:u w:val="single"/>
        </w:rPr>
        <w:t>2</w:t>
      </w:r>
      <w:r>
        <w:rPr>
          <w:rFonts w:hint="eastAsia" w:ascii="宋体" w:hAnsi="宋体" w:eastAsia="宋体" w:cs="宋体"/>
          <w:b/>
          <w:bCs w:val="0"/>
          <w:color w:val="auto"/>
          <w:sz w:val="21"/>
          <w:szCs w:val="21"/>
          <w:highlight w:val="none"/>
          <w:u w:val="single"/>
        </w:rPr>
        <w:t>02</w:t>
      </w:r>
      <w:r>
        <w:rPr>
          <w:rFonts w:hint="eastAsia" w:ascii="宋体" w:hAnsi="宋体" w:cs="宋体"/>
          <w:b/>
          <w:bCs w:val="0"/>
          <w:color w:val="auto"/>
          <w:sz w:val="21"/>
          <w:szCs w:val="21"/>
          <w:highlight w:val="none"/>
          <w:u w:val="single"/>
          <w:lang w:val="en-US" w:eastAsia="zh-CN"/>
        </w:rPr>
        <w:t>5</w:t>
      </w:r>
      <w:r>
        <w:rPr>
          <w:rFonts w:hint="eastAsia" w:ascii="宋体" w:hAnsi="宋体" w:eastAsia="宋体" w:cs="宋体"/>
          <w:b/>
          <w:bCs w:val="0"/>
          <w:color w:val="auto"/>
          <w:sz w:val="21"/>
          <w:szCs w:val="21"/>
          <w:highlight w:val="none"/>
          <w:u w:val="single"/>
        </w:rPr>
        <w:t>年</w:t>
      </w:r>
      <w:r>
        <w:rPr>
          <w:rFonts w:hint="eastAsia" w:ascii="宋体" w:hAnsi="宋体" w:cs="宋体"/>
          <w:b/>
          <w:bCs w:val="0"/>
          <w:color w:val="auto"/>
          <w:sz w:val="21"/>
          <w:szCs w:val="21"/>
          <w:highlight w:val="none"/>
          <w:u w:val="single"/>
          <w:lang w:val="en-US" w:eastAsia="zh-CN"/>
        </w:rPr>
        <w:t>3</w:t>
      </w:r>
      <w:r>
        <w:rPr>
          <w:rFonts w:hint="eastAsia" w:ascii="宋体" w:hAnsi="宋体" w:eastAsia="宋体" w:cs="宋体"/>
          <w:b/>
          <w:bCs w:val="0"/>
          <w:color w:val="auto"/>
          <w:sz w:val="21"/>
          <w:szCs w:val="21"/>
          <w:highlight w:val="none"/>
          <w:u w:val="single"/>
        </w:rPr>
        <w:t>月</w:t>
      </w:r>
      <w:r>
        <w:rPr>
          <w:rFonts w:hint="eastAsia" w:ascii="宋体" w:hAnsi="宋体" w:cs="宋体"/>
          <w:b/>
          <w:bCs w:val="0"/>
          <w:color w:val="auto"/>
          <w:sz w:val="21"/>
          <w:szCs w:val="21"/>
          <w:highlight w:val="none"/>
          <w:u w:val="single"/>
          <w:lang w:val="en-US" w:eastAsia="zh-CN"/>
        </w:rPr>
        <w:t>3</w:t>
      </w:r>
      <w:r>
        <w:rPr>
          <w:rFonts w:hint="eastAsia" w:ascii="宋体" w:hAnsi="宋体" w:eastAsia="宋体" w:cs="宋体"/>
          <w:b/>
          <w:bCs w:val="0"/>
          <w:color w:val="auto"/>
          <w:sz w:val="21"/>
          <w:szCs w:val="21"/>
          <w:highlight w:val="none"/>
          <w:u w:val="single"/>
        </w:rPr>
        <w:t>日</w:t>
      </w:r>
      <w:r>
        <w:rPr>
          <w:rFonts w:hint="eastAsia" w:ascii="宋体" w:hAnsi="宋体" w:cs="宋体"/>
          <w:b/>
          <w:bCs w:val="0"/>
          <w:color w:val="auto"/>
          <w:sz w:val="21"/>
          <w:szCs w:val="21"/>
          <w:highlight w:val="none"/>
          <w:u w:val="single"/>
          <w:lang w:val="en-US" w:eastAsia="zh-CN"/>
        </w:rPr>
        <w:t>17</w:t>
      </w:r>
      <w:r>
        <w:rPr>
          <w:rFonts w:hint="eastAsia" w:ascii="宋体" w:hAnsi="宋体" w:eastAsia="宋体" w:cs="宋体"/>
          <w:b/>
          <w:bCs w:val="0"/>
          <w:color w:val="auto"/>
          <w:sz w:val="21"/>
          <w:szCs w:val="21"/>
          <w:highlight w:val="none"/>
          <w:u w:val="single"/>
        </w:rPr>
        <w:t>时</w:t>
      </w:r>
      <w:r>
        <w:rPr>
          <w:rFonts w:hint="eastAsia" w:ascii="宋体" w:hAnsi="宋体" w:eastAsia="宋体" w:cs="宋体"/>
          <w:bCs/>
          <w:color w:val="auto"/>
          <w:sz w:val="21"/>
          <w:szCs w:val="21"/>
          <w:highlight w:val="none"/>
          <w:u w:val="single"/>
        </w:rPr>
        <w:t>前</w:t>
      </w:r>
      <w:r>
        <w:rPr>
          <w:rFonts w:hint="eastAsia" w:ascii="宋体" w:hAnsi="宋体" w:eastAsia="宋体" w:cs="宋体"/>
          <w:bCs/>
          <w:color w:val="auto"/>
          <w:sz w:val="21"/>
          <w:szCs w:val="21"/>
          <w:highlight w:val="none"/>
        </w:rPr>
        <w:t>投标人将所遇到的</w:t>
      </w:r>
      <w:r>
        <w:rPr>
          <w:rFonts w:hint="eastAsia" w:ascii="宋体" w:hAnsi="宋体" w:cs="宋体"/>
          <w:bCs/>
          <w:color w:val="auto"/>
          <w:sz w:val="21"/>
          <w:szCs w:val="21"/>
          <w:highlight w:val="none"/>
          <w:lang w:val="en-US" w:eastAsia="zh-CN"/>
        </w:rPr>
        <w:t>问题</w:t>
      </w:r>
      <w:r>
        <w:rPr>
          <w:rFonts w:hint="eastAsia" w:ascii="宋体" w:hAnsi="宋体" w:eastAsia="宋体" w:cs="宋体"/>
          <w:bCs/>
          <w:color w:val="auto"/>
          <w:sz w:val="21"/>
          <w:szCs w:val="21"/>
          <w:highlight w:val="none"/>
        </w:rPr>
        <w:t>通过登录新点电子交易平台【滁州专区】线上提出异议</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zh-CN"/>
        </w:rPr>
        <w:t>否则</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zh-CN"/>
        </w:rPr>
        <w:t>由此引起的损失均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否决。</w:t>
      </w:r>
    </w:p>
    <w:p w14:paraId="3ABED517">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14.</w:t>
      </w:r>
      <w:r>
        <w:rPr>
          <w:rFonts w:hint="eastAsia" w:ascii="宋体" w:hAnsi="宋体" w:eastAsia="宋体" w:cs="宋体"/>
          <w:bCs/>
          <w:color w:val="auto"/>
          <w:sz w:val="21"/>
          <w:szCs w:val="21"/>
          <w:highlight w:val="none"/>
        </w:rPr>
        <w:t>招标文件的澄清、修改、补充、解释</w:t>
      </w:r>
    </w:p>
    <w:p w14:paraId="139ED623">
      <w:pPr>
        <w:keepNext w:val="0"/>
        <w:keepLines w:val="0"/>
        <w:pageBreakBefore w:val="0"/>
        <w:widowControl w:val="0"/>
        <w:kinsoku/>
        <w:wordWrap w:val="0"/>
        <w:overflowPunct/>
        <w:topLinePunct w:val="0"/>
        <w:autoSpaceDE/>
        <w:autoSpaceDN/>
        <w:bidi w:val="0"/>
        <w:adjustRightInd/>
        <w:snapToGrid/>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14.1</w:t>
      </w:r>
      <w:r>
        <w:rPr>
          <w:rFonts w:hint="eastAsia" w:ascii="宋体" w:hAnsi="宋体" w:eastAsia="宋体" w:cs="宋体"/>
          <w:color w:val="auto"/>
          <w:kern w:val="0"/>
          <w:sz w:val="21"/>
          <w:szCs w:val="21"/>
          <w:highlight w:val="none"/>
          <w:lang w:val="zh-CN"/>
        </w:rPr>
        <w:t>招标文件发出后</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zh-CN"/>
        </w:rPr>
        <w:t>招标人可对招标文件进行必要的澄清、修改和补充</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zh-CN"/>
        </w:rPr>
        <w:t>澄清内容</w:t>
      </w:r>
      <w:r>
        <w:rPr>
          <w:rFonts w:hint="eastAsia" w:ascii="宋体" w:hAnsi="宋体" w:eastAsia="宋体" w:cs="宋体"/>
          <w:color w:val="auto"/>
          <w:kern w:val="0"/>
          <w:sz w:val="21"/>
          <w:szCs w:val="21"/>
          <w:highlight w:val="none"/>
        </w:rPr>
        <w:t>将于</w:t>
      </w:r>
      <w:r>
        <w:rPr>
          <w:rFonts w:hint="eastAsia" w:ascii="宋体" w:hAnsi="宋体" w:eastAsia="宋体" w:cs="宋体"/>
          <w:b/>
          <w:bCs w:val="0"/>
          <w:color w:val="auto"/>
          <w:kern w:val="0"/>
          <w:sz w:val="21"/>
          <w:szCs w:val="21"/>
          <w:highlight w:val="none"/>
          <w:u w:val="single"/>
        </w:rPr>
        <w:t>202</w:t>
      </w:r>
      <w:r>
        <w:rPr>
          <w:rFonts w:hint="eastAsia" w:ascii="宋体" w:hAnsi="宋体" w:cs="宋体"/>
          <w:b/>
          <w:bCs w:val="0"/>
          <w:color w:val="auto"/>
          <w:kern w:val="0"/>
          <w:sz w:val="21"/>
          <w:szCs w:val="21"/>
          <w:highlight w:val="none"/>
          <w:u w:val="single"/>
          <w:lang w:val="en-US" w:eastAsia="zh-CN"/>
        </w:rPr>
        <w:t>5</w:t>
      </w:r>
      <w:r>
        <w:rPr>
          <w:rFonts w:hint="eastAsia" w:ascii="宋体" w:hAnsi="宋体" w:eastAsia="宋体" w:cs="宋体"/>
          <w:b/>
          <w:bCs w:val="0"/>
          <w:color w:val="auto"/>
          <w:kern w:val="0"/>
          <w:sz w:val="21"/>
          <w:szCs w:val="21"/>
          <w:highlight w:val="none"/>
          <w:u w:val="single"/>
        </w:rPr>
        <w:t>年</w:t>
      </w:r>
      <w:r>
        <w:rPr>
          <w:rFonts w:hint="eastAsia" w:ascii="宋体" w:hAnsi="宋体" w:cs="宋体"/>
          <w:b/>
          <w:bCs w:val="0"/>
          <w:color w:val="auto"/>
          <w:kern w:val="0"/>
          <w:sz w:val="21"/>
          <w:szCs w:val="21"/>
          <w:highlight w:val="none"/>
          <w:u w:val="single"/>
          <w:lang w:val="en-US" w:eastAsia="zh-CN"/>
        </w:rPr>
        <w:t>3</w:t>
      </w:r>
      <w:r>
        <w:rPr>
          <w:rFonts w:hint="eastAsia" w:ascii="宋体" w:hAnsi="宋体" w:eastAsia="宋体" w:cs="宋体"/>
          <w:b/>
          <w:bCs w:val="0"/>
          <w:color w:val="auto"/>
          <w:kern w:val="0"/>
          <w:sz w:val="21"/>
          <w:szCs w:val="21"/>
          <w:highlight w:val="none"/>
          <w:u w:val="single"/>
        </w:rPr>
        <w:t>月</w:t>
      </w:r>
      <w:r>
        <w:rPr>
          <w:rFonts w:hint="eastAsia" w:ascii="宋体" w:hAnsi="宋体" w:cs="宋体"/>
          <w:b/>
          <w:bCs w:val="0"/>
          <w:color w:val="auto"/>
          <w:kern w:val="0"/>
          <w:sz w:val="21"/>
          <w:szCs w:val="21"/>
          <w:highlight w:val="none"/>
          <w:u w:val="single"/>
          <w:lang w:val="en-US" w:eastAsia="zh-CN"/>
        </w:rPr>
        <w:t xml:space="preserve">  4</w:t>
      </w:r>
      <w:r>
        <w:rPr>
          <w:rFonts w:hint="eastAsia" w:ascii="宋体" w:hAnsi="宋体" w:eastAsia="宋体" w:cs="宋体"/>
          <w:b/>
          <w:bCs w:val="0"/>
          <w:color w:val="auto"/>
          <w:kern w:val="0"/>
          <w:sz w:val="21"/>
          <w:szCs w:val="21"/>
          <w:highlight w:val="none"/>
          <w:u w:val="single"/>
        </w:rPr>
        <w:t>日17时</w:t>
      </w:r>
      <w:r>
        <w:rPr>
          <w:rFonts w:hint="eastAsia" w:ascii="宋体" w:hAnsi="宋体" w:eastAsia="宋体" w:cs="宋体"/>
          <w:b/>
          <w:bCs w:val="0"/>
          <w:color w:val="auto"/>
          <w:kern w:val="0"/>
          <w:sz w:val="21"/>
          <w:szCs w:val="21"/>
          <w:highlight w:val="none"/>
        </w:rPr>
        <w:t>后</w:t>
      </w:r>
      <w:r>
        <w:rPr>
          <w:rFonts w:hint="eastAsia" w:ascii="宋体" w:hAnsi="宋体" w:eastAsia="宋体" w:cs="宋体"/>
          <w:color w:val="auto"/>
          <w:kern w:val="0"/>
          <w:sz w:val="21"/>
          <w:szCs w:val="21"/>
          <w:highlight w:val="none"/>
        </w:rPr>
        <w:t>以澄清公告形式在</w:t>
      </w:r>
      <w:r>
        <w:rPr>
          <w:rFonts w:hint="eastAsia" w:ascii="宋体" w:hAnsi="宋体" w:cs="宋体"/>
          <w:color w:val="auto"/>
          <w:kern w:val="0"/>
          <w:sz w:val="21"/>
          <w:szCs w:val="21"/>
          <w:highlight w:val="none"/>
          <w:lang w:eastAsia="zh-CN"/>
        </w:rPr>
        <w:t>滁州市扬子工业投资集团有限公司官网（https://czyzgtjt.com/)、中国扬子集团官网（http://www.yangzigroup.cn/）</w:t>
      </w:r>
      <w:r>
        <w:rPr>
          <w:rFonts w:hint="eastAsia" w:ascii="宋体" w:hAnsi="宋体" w:eastAsia="宋体" w:cs="宋体"/>
          <w:color w:val="auto"/>
          <w:kern w:val="0"/>
          <w:sz w:val="21"/>
          <w:szCs w:val="21"/>
          <w:highlight w:val="none"/>
        </w:rPr>
        <w:t>、滁州市城投工程咨询管理有限公司网站（https://www.czctgczx.com/）发布</w:t>
      </w:r>
      <w:r>
        <w:rPr>
          <w:rFonts w:hint="eastAsia" w:ascii="宋体" w:hAnsi="宋体" w:eastAsia="宋体" w:cs="宋体"/>
          <w:color w:val="auto"/>
          <w:kern w:val="0"/>
          <w:sz w:val="21"/>
          <w:szCs w:val="21"/>
          <w:highlight w:val="none"/>
          <w:lang w:val="zh-CN"/>
        </w:rPr>
        <w:t>。招标文件的修改内容作为招标文件的组成部分，具有约束作用。</w:t>
      </w:r>
    </w:p>
    <w:p w14:paraId="2FBB63B7">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14.2  本招标文件由招标人委托的招标代理机构负责解释。</w:t>
      </w:r>
    </w:p>
    <w:p w14:paraId="4E18B7D2">
      <w:pPr>
        <w:spacing w:line="440" w:lineRule="exact"/>
        <w:rPr>
          <w:rFonts w:hint="eastAsia" w:ascii="宋体" w:hAnsi="宋体" w:eastAsia="宋体" w:cs="Times New Roman"/>
          <w:color w:val="auto"/>
          <w:szCs w:val="21"/>
        </w:rPr>
      </w:pPr>
      <w:r>
        <w:rPr>
          <w:rFonts w:hint="eastAsia" w:ascii="宋体" w:hAnsi="宋体" w:eastAsia="宋体" w:cs="Times New Roman"/>
          <w:color w:val="auto"/>
          <w:szCs w:val="21"/>
        </w:rPr>
        <w:t>15. 踏勘现场及投标预备会</w:t>
      </w:r>
    </w:p>
    <w:p w14:paraId="25993C06">
      <w:pPr>
        <w:spacing w:line="440" w:lineRule="exact"/>
        <w:rPr>
          <w:rFonts w:hint="eastAsia" w:ascii="宋体" w:hAnsi="宋体" w:eastAsia="宋体" w:cs="Times New Roman"/>
          <w:color w:val="auto"/>
          <w:szCs w:val="21"/>
        </w:rPr>
      </w:pPr>
      <w:r>
        <w:rPr>
          <w:rFonts w:hint="eastAsia" w:ascii="宋体" w:hAnsi="宋体" w:eastAsia="宋体" w:cs="Times New Roman"/>
          <w:color w:val="auto"/>
          <w:szCs w:val="21"/>
        </w:rPr>
        <w:t>15.1 踏勘现场</w:t>
      </w:r>
    </w:p>
    <w:p w14:paraId="1C3DC862">
      <w:pPr>
        <w:spacing w:line="440" w:lineRule="exact"/>
        <w:rPr>
          <w:rFonts w:hint="eastAsia" w:ascii="宋体" w:hAnsi="宋体" w:eastAsia="宋体" w:cs="Times New Roman"/>
          <w:color w:val="auto"/>
          <w:szCs w:val="21"/>
        </w:rPr>
      </w:pPr>
      <w:r>
        <w:rPr>
          <w:rFonts w:hint="eastAsia" w:ascii="宋体" w:hAnsi="宋体" w:eastAsia="宋体" w:cs="Times New Roman"/>
          <w:color w:val="auto"/>
          <w:szCs w:val="21"/>
        </w:rPr>
        <w:t>15.1.1 投标人自行对工程现场及周围环境进行踏勘，以便投标人获取有关编制投标文件和签署合同所涉及现场的资料。投标人承担踏勘现场所发生的自身费用。</w:t>
      </w:r>
    </w:p>
    <w:p w14:paraId="60C5F0B8">
      <w:pPr>
        <w:spacing w:line="440" w:lineRule="exact"/>
        <w:rPr>
          <w:rFonts w:hint="eastAsia" w:ascii="宋体" w:hAnsi="宋体" w:eastAsia="宋体" w:cs="Times New Roman"/>
          <w:color w:val="auto"/>
          <w:szCs w:val="21"/>
        </w:rPr>
      </w:pPr>
      <w:r>
        <w:rPr>
          <w:rFonts w:hint="eastAsia" w:ascii="宋体" w:hAnsi="宋体" w:eastAsia="宋体" w:cs="Times New Roman"/>
          <w:color w:val="auto"/>
          <w:szCs w:val="21"/>
        </w:rPr>
        <w:t>15.2 投标预备会</w:t>
      </w:r>
    </w:p>
    <w:p w14:paraId="75D66753">
      <w:pPr>
        <w:spacing w:line="440" w:lineRule="exact"/>
        <w:rPr>
          <w:rFonts w:hint="eastAsia" w:ascii="宋体" w:hAnsi="宋体" w:eastAsia="宋体" w:cs="Times New Roman"/>
          <w:color w:val="auto"/>
          <w:szCs w:val="21"/>
        </w:rPr>
      </w:pPr>
      <w:r>
        <w:rPr>
          <w:rFonts w:hint="eastAsia" w:ascii="宋体" w:hAnsi="宋体" w:eastAsia="宋体" w:cs="Times New Roman"/>
          <w:color w:val="auto"/>
          <w:szCs w:val="21"/>
        </w:rPr>
        <w:t>15.2.1不再集中召开招标答疑会。</w:t>
      </w:r>
    </w:p>
    <w:p w14:paraId="3C9C78B1">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 招标文件的发出</w:t>
      </w:r>
    </w:p>
    <w:p w14:paraId="3F336592">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16.1招标文件、招标文件的澄清、修改、补充及招标答疑等均应报招标人备案后，方可发出。</w:t>
      </w:r>
    </w:p>
    <w:p w14:paraId="4CA905FA">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17. 最高投标限价的作用和说明</w:t>
      </w:r>
    </w:p>
    <w:p w14:paraId="2FE6022B">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17.</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lang w:val="en-US" w:eastAsia="zh-CN"/>
        </w:rPr>
        <w:t>本项目最高限价为</w:t>
      </w:r>
      <w:r>
        <w:rPr>
          <w:rFonts w:hint="eastAsia" w:ascii="宋体" w:hAnsi="宋体" w:cs="宋体"/>
          <w:color w:val="auto"/>
          <w:sz w:val="21"/>
          <w:szCs w:val="21"/>
          <w:highlight w:val="none"/>
          <w:lang w:val="en-US" w:eastAsia="zh-CN"/>
        </w:rPr>
        <w:t>945000.00元</w:t>
      </w:r>
      <w:r>
        <w:rPr>
          <w:rFonts w:hint="eastAsia" w:ascii="宋体" w:hAnsi="宋体" w:eastAsia="宋体" w:cs="宋体"/>
          <w:color w:val="auto"/>
          <w:sz w:val="21"/>
          <w:szCs w:val="21"/>
          <w:highlight w:val="none"/>
          <w:lang w:val="en-US" w:eastAsia="zh-CN"/>
        </w:rPr>
        <w:t>。</w:t>
      </w:r>
    </w:p>
    <w:p w14:paraId="358FCE46">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17.2</w:t>
      </w:r>
      <w:r>
        <w:rPr>
          <w:rFonts w:hint="eastAsia" w:ascii="宋体" w:hAnsi="宋体" w:eastAsia="宋体" w:cs="宋体"/>
          <w:color w:val="auto"/>
          <w:sz w:val="21"/>
          <w:szCs w:val="21"/>
          <w:highlight w:val="none"/>
          <w:lang w:val="en-US" w:eastAsia="zh-CN"/>
        </w:rPr>
        <w:t>投标人结合现行的市场价格信息并充分考虑市场价格的走势风险，按招标文件规定的计价依据及结算方式进行报价。</w:t>
      </w:r>
    </w:p>
    <w:p w14:paraId="11738E30">
      <w:pPr>
        <w:keepNext w:val="0"/>
        <w:keepLines w:val="0"/>
        <w:pageBreakBefore w:val="0"/>
        <w:widowControl w:val="0"/>
        <w:kinsoku/>
        <w:wordWrap/>
        <w:overflowPunct/>
        <w:topLinePunct w:val="0"/>
        <w:autoSpaceDE/>
        <w:autoSpaceDN/>
        <w:bidi w:val="0"/>
        <w:spacing w:line="510" w:lineRule="exact"/>
        <w:jc w:val="center"/>
        <w:textAlignment w:val="auto"/>
        <w:outlineLvl w:val="1"/>
        <w:rPr>
          <w:rFonts w:hint="eastAsia" w:ascii="宋体" w:hAnsi="宋体" w:eastAsia="宋体" w:cs="宋体"/>
          <w:color w:val="auto"/>
          <w:sz w:val="28"/>
          <w:szCs w:val="28"/>
          <w:highlight w:val="none"/>
        </w:rPr>
      </w:pPr>
      <w:bookmarkStart w:id="5" w:name="_Toc24852"/>
      <w:r>
        <w:rPr>
          <w:rFonts w:hint="eastAsia" w:ascii="宋体" w:hAnsi="宋体" w:eastAsia="宋体" w:cs="宋体"/>
          <w:color w:val="auto"/>
          <w:sz w:val="28"/>
          <w:szCs w:val="28"/>
          <w:highlight w:val="none"/>
        </w:rPr>
        <w:t>三、投标文件的编制</w:t>
      </w:r>
      <w:bookmarkEnd w:id="5"/>
    </w:p>
    <w:p w14:paraId="70C2426E">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r>
        <w:rPr>
          <w:rFonts w:hint="eastAsia" w:ascii="宋体" w:hAnsi="宋体" w:cs="宋体"/>
          <w:color w:val="auto"/>
          <w:sz w:val="21"/>
          <w:szCs w:val="21"/>
          <w:highlight w:val="none"/>
          <w:lang w:val="en-US" w:eastAsia="zh-CN"/>
        </w:rPr>
        <w:t>8</w:t>
      </w:r>
      <w:r>
        <w:rPr>
          <w:rFonts w:hint="eastAsia" w:ascii="宋体" w:hAnsi="宋体" w:eastAsia="宋体" w:cs="宋体"/>
          <w:color w:val="auto"/>
          <w:sz w:val="21"/>
          <w:szCs w:val="21"/>
          <w:highlight w:val="none"/>
          <w:lang w:val="en-US" w:eastAsia="zh-CN"/>
        </w:rPr>
        <w:t>.投标文件的组成：见第五章投标文件格式</w:t>
      </w:r>
    </w:p>
    <w:p w14:paraId="59CFC076">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19</w:t>
      </w:r>
      <w:r>
        <w:rPr>
          <w:rFonts w:hint="eastAsia" w:ascii="宋体" w:hAnsi="宋体" w:eastAsia="宋体" w:cs="宋体"/>
          <w:color w:val="auto"/>
          <w:sz w:val="21"/>
          <w:szCs w:val="21"/>
          <w:highlight w:val="none"/>
        </w:rPr>
        <w:t>．投标报价</w:t>
      </w:r>
    </w:p>
    <w:p w14:paraId="1D1FB267">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19</w:t>
      </w:r>
      <w:r>
        <w:rPr>
          <w:rFonts w:hint="eastAsia" w:ascii="宋体" w:hAnsi="宋体" w:eastAsia="宋体" w:cs="宋体"/>
          <w:b/>
          <w:bCs/>
          <w:color w:val="auto"/>
          <w:sz w:val="21"/>
          <w:szCs w:val="21"/>
          <w:highlight w:val="none"/>
        </w:rPr>
        <w:t>.1 投标人的投标报价应为提供招标文件及合同条款中明示或暗示的服务内容而所需的（包括但不限于）</w:t>
      </w:r>
      <w:r>
        <w:rPr>
          <w:rFonts w:hint="eastAsia" w:ascii="宋体" w:hAnsi="宋体" w:eastAsia="宋体" w:cs="宋体"/>
          <w:b/>
          <w:color w:val="000000"/>
          <w:szCs w:val="21"/>
        </w:rPr>
        <w:t>：</w:t>
      </w:r>
      <w:r>
        <w:rPr>
          <w:rFonts w:hint="eastAsia" w:ascii="宋体" w:hAnsi="宋体" w:cs="宋体"/>
          <w:b/>
          <w:color w:val="000000"/>
          <w:szCs w:val="21"/>
          <w:lang w:val="en-US" w:eastAsia="zh-CN"/>
        </w:rPr>
        <w:t>设计费、</w:t>
      </w:r>
      <w:r>
        <w:rPr>
          <w:rFonts w:hint="eastAsia" w:ascii="宋体" w:hAnsi="宋体" w:eastAsia="宋体" w:cs="宋体"/>
          <w:b/>
          <w:color w:val="000000"/>
          <w:szCs w:val="21"/>
          <w:lang w:val="en-US" w:eastAsia="zh-CN"/>
        </w:rPr>
        <w:t>货物（所有材料）出厂价、材料费、装卸费、运</w:t>
      </w:r>
      <w:r>
        <w:rPr>
          <w:rFonts w:hint="eastAsia" w:ascii="宋体" w:hAnsi="宋体" w:eastAsia="宋体" w:cs="宋体"/>
          <w:b/>
          <w:color w:val="auto"/>
          <w:szCs w:val="21"/>
          <w:lang w:val="en-US" w:eastAsia="zh-CN"/>
        </w:rPr>
        <w:t>输费、</w:t>
      </w:r>
      <w:r>
        <w:rPr>
          <w:rFonts w:hint="eastAsia" w:ascii="宋体" w:hAnsi="宋体" w:eastAsia="宋体" w:cs="宋体"/>
          <w:b/>
          <w:color w:val="auto"/>
          <w:szCs w:val="21"/>
        </w:rPr>
        <w:t>人工</w:t>
      </w:r>
      <w:r>
        <w:rPr>
          <w:rFonts w:hint="eastAsia" w:ascii="宋体" w:hAnsi="宋体" w:eastAsia="宋体" w:cs="宋体"/>
          <w:b/>
          <w:color w:val="auto"/>
          <w:szCs w:val="21"/>
          <w:lang w:val="en-US" w:eastAsia="zh-CN"/>
        </w:rPr>
        <w:t>费、机械费、措施费、保护费、</w:t>
      </w:r>
      <w:r>
        <w:rPr>
          <w:rFonts w:hint="eastAsia" w:ascii="宋体" w:hAnsi="宋体" w:eastAsia="宋体" w:cs="宋体"/>
          <w:b/>
          <w:color w:val="auto"/>
          <w:szCs w:val="21"/>
        </w:rPr>
        <w:t>验收费用</w:t>
      </w:r>
      <w:r>
        <w:rPr>
          <w:rFonts w:hint="eastAsia" w:ascii="宋体" w:hAnsi="宋体" w:eastAsia="宋体" w:cs="宋体"/>
          <w:b/>
          <w:color w:val="auto"/>
          <w:szCs w:val="21"/>
          <w:lang w:eastAsia="zh-CN"/>
        </w:rPr>
        <w:t>、</w:t>
      </w:r>
      <w:r>
        <w:rPr>
          <w:rFonts w:hint="eastAsia" w:ascii="宋体" w:hAnsi="宋体" w:cs="宋体"/>
          <w:b/>
          <w:color w:val="auto"/>
          <w:szCs w:val="21"/>
          <w:lang w:val="en-US" w:eastAsia="zh-CN"/>
        </w:rPr>
        <w:t>安装费、</w:t>
      </w:r>
      <w:r>
        <w:rPr>
          <w:rFonts w:hint="eastAsia" w:ascii="宋体" w:hAnsi="宋体" w:eastAsia="宋体" w:cs="宋体"/>
          <w:b/>
          <w:color w:val="auto"/>
          <w:szCs w:val="21"/>
        </w:rPr>
        <w:t>管理费、利润、招标代理费用</w:t>
      </w:r>
      <w:r>
        <w:rPr>
          <w:rFonts w:hint="eastAsia" w:ascii="宋体" w:hAnsi="宋体" w:eastAsia="宋体" w:cs="宋体"/>
          <w:b/>
          <w:color w:val="auto"/>
          <w:szCs w:val="21"/>
          <w:lang w:eastAsia="zh-CN"/>
        </w:rPr>
        <w:t>、</w:t>
      </w:r>
      <w:r>
        <w:rPr>
          <w:rFonts w:hint="eastAsia" w:ascii="宋体" w:hAnsi="宋体" w:eastAsia="宋体" w:cs="宋体"/>
          <w:b/>
          <w:color w:val="auto"/>
          <w:szCs w:val="21"/>
          <w:lang w:val="en-US" w:eastAsia="zh-CN"/>
        </w:rPr>
        <w:t>税费</w:t>
      </w:r>
      <w:r>
        <w:rPr>
          <w:rFonts w:hint="eastAsia" w:ascii="宋体" w:hAnsi="宋体" w:cs="宋体"/>
          <w:b/>
          <w:color w:val="auto"/>
          <w:szCs w:val="21"/>
          <w:lang w:val="en-US" w:eastAsia="zh-CN"/>
        </w:rPr>
        <w:t>、</w:t>
      </w:r>
      <w:r>
        <w:rPr>
          <w:rFonts w:hint="eastAsia" w:ascii="宋体" w:hAnsi="宋体" w:eastAsia="宋体" w:cs="宋体"/>
          <w:b/>
          <w:bCs/>
          <w:color w:val="auto"/>
          <w:sz w:val="21"/>
          <w:szCs w:val="21"/>
          <w:highlight w:val="none"/>
        </w:rPr>
        <w:t>各类保险、政策性及指导性文件规定及合同包含的所有风险、责任、义务等一切应有费用</w:t>
      </w:r>
      <w:r>
        <w:rPr>
          <w:rFonts w:hint="eastAsia" w:ascii="宋体" w:hAnsi="宋体" w:cs="宋体"/>
          <w:b/>
          <w:bCs/>
          <w:color w:val="auto"/>
          <w:sz w:val="21"/>
          <w:szCs w:val="21"/>
          <w:highlight w:val="none"/>
          <w:lang w:eastAsia="zh-CN"/>
        </w:rPr>
        <w:t>，</w:t>
      </w:r>
      <w:r>
        <w:rPr>
          <w:rFonts w:hint="eastAsia" w:ascii="宋体" w:hAnsi="宋体" w:cs="宋体"/>
          <w:b/>
          <w:bCs/>
          <w:color w:val="auto"/>
          <w:sz w:val="21"/>
          <w:szCs w:val="21"/>
          <w:highlight w:val="none"/>
          <w:lang w:val="en-US" w:eastAsia="zh-CN"/>
        </w:rPr>
        <w:t>固定总价不作任何调整，招标人不再另行支付任何费用</w:t>
      </w:r>
      <w:r>
        <w:rPr>
          <w:rFonts w:hint="eastAsia" w:ascii="宋体" w:hAnsi="宋体" w:cs="宋体"/>
          <w:b/>
          <w:color w:val="auto"/>
          <w:szCs w:val="21"/>
          <w:lang w:val="en-US" w:eastAsia="zh-CN"/>
        </w:rPr>
        <w:t>。</w:t>
      </w:r>
    </w:p>
    <w:p w14:paraId="48EC500F">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19</w:t>
      </w:r>
      <w:r>
        <w:rPr>
          <w:rFonts w:hint="eastAsia" w:ascii="宋体" w:hAnsi="宋体" w:eastAsia="宋体" w:cs="宋体"/>
          <w:color w:val="auto"/>
          <w:sz w:val="21"/>
          <w:szCs w:val="21"/>
          <w:highlight w:val="none"/>
        </w:rPr>
        <w:t>.2 投标报价不按规定报价的，其投标文件按无效标处理。</w:t>
      </w:r>
    </w:p>
    <w:p w14:paraId="6AFB912F">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20</w:t>
      </w:r>
      <w:r>
        <w:rPr>
          <w:rFonts w:hint="eastAsia" w:ascii="宋体" w:hAnsi="宋体" w:eastAsia="宋体" w:cs="宋体"/>
          <w:color w:val="auto"/>
          <w:sz w:val="21"/>
          <w:szCs w:val="21"/>
          <w:highlight w:val="none"/>
        </w:rPr>
        <w:t>.投标有效期</w:t>
      </w:r>
    </w:p>
    <w:p w14:paraId="6C4214E5">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.1投标有效期为</w:t>
      </w:r>
      <w:r>
        <w:rPr>
          <w:rFonts w:hint="eastAsia" w:ascii="宋体" w:hAnsi="宋体" w:eastAsia="宋体" w:cs="宋体"/>
          <w:color w:val="auto"/>
          <w:sz w:val="21"/>
          <w:szCs w:val="21"/>
          <w:highlight w:val="none"/>
          <w:u w:val="single"/>
        </w:rPr>
        <w:t>60</w:t>
      </w:r>
      <w:r>
        <w:rPr>
          <w:rFonts w:hint="eastAsia" w:ascii="宋体" w:hAnsi="宋体" w:eastAsia="宋体" w:cs="宋体"/>
          <w:color w:val="auto"/>
          <w:sz w:val="21"/>
          <w:szCs w:val="21"/>
          <w:highlight w:val="none"/>
        </w:rPr>
        <w:t>日历天（从投标截止之日算起）。在此期限内，凡符合本招标文件要求的投标文件均保持有效。</w:t>
      </w:r>
    </w:p>
    <w:p w14:paraId="36663200">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4"/>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.2 在特殊情况下，招标人在原定投标有效期内，可以根据需要以书面形式向投标人提出延长投标有效期的要求，对此要求投标人须以书面形式予以答复。投标人可以拒绝招标人这种要求，而不被没收投标保证金。同意延长投标有效期的投标人既不能要求也不允许修改其投标文件，但需要相应的延长投标担保的有效期，在延长的投标有效期内，本须知关于投标担保的退还与没收的规定仍然适用</w:t>
      </w:r>
      <w:r>
        <w:rPr>
          <w:rFonts w:hint="eastAsia" w:ascii="宋体" w:hAnsi="宋体" w:eastAsia="宋体" w:cs="宋体"/>
          <w:color w:val="auto"/>
          <w:sz w:val="24"/>
          <w:highlight w:val="none"/>
        </w:rPr>
        <w:t>。</w:t>
      </w:r>
    </w:p>
    <w:p w14:paraId="3DE1E54A">
      <w:pPr>
        <w:keepNext w:val="0"/>
        <w:keepLines w:val="0"/>
        <w:pageBreakBefore w:val="0"/>
        <w:widowControl w:val="0"/>
        <w:kinsoku/>
        <w:wordWrap/>
        <w:overflowPunct/>
        <w:topLinePunct w:val="0"/>
        <w:autoSpaceDE/>
        <w:autoSpaceDN/>
        <w:bidi w:val="0"/>
        <w:spacing w:line="510" w:lineRule="exact"/>
        <w:jc w:val="center"/>
        <w:textAlignment w:val="auto"/>
        <w:outlineLvl w:val="1"/>
        <w:rPr>
          <w:rFonts w:hint="eastAsia" w:ascii="宋体" w:hAnsi="宋体" w:eastAsia="宋体" w:cs="宋体"/>
          <w:color w:val="auto"/>
          <w:sz w:val="24"/>
          <w:highlight w:val="none"/>
          <w:lang w:val="en-US" w:eastAsia="zh-CN"/>
        </w:rPr>
      </w:pPr>
      <w:bookmarkStart w:id="6" w:name="_Toc27519"/>
      <w:r>
        <w:rPr>
          <w:rFonts w:hint="eastAsia" w:ascii="宋体" w:hAnsi="宋体" w:eastAsia="宋体" w:cs="宋体"/>
          <w:color w:val="auto"/>
          <w:sz w:val="24"/>
          <w:highlight w:val="none"/>
          <w:lang w:val="en-US" w:eastAsia="zh-CN"/>
        </w:rPr>
        <w:t xml:space="preserve"> </w:t>
      </w:r>
    </w:p>
    <w:p w14:paraId="71C94BD0">
      <w:pPr>
        <w:keepNext w:val="0"/>
        <w:keepLines w:val="0"/>
        <w:pageBreakBefore w:val="0"/>
        <w:widowControl w:val="0"/>
        <w:kinsoku/>
        <w:wordWrap/>
        <w:overflowPunct/>
        <w:topLinePunct w:val="0"/>
        <w:autoSpaceDE/>
        <w:autoSpaceDN/>
        <w:bidi w:val="0"/>
        <w:spacing w:line="510" w:lineRule="exact"/>
        <w:jc w:val="center"/>
        <w:textAlignment w:val="auto"/>
        <w:outlineLvl w:val="1"/>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四、投标文件的密封和递交</w:t>
      </w:r>
      <w:bookmarkEnd w:id="6"/>
    </w:p>
    <w:p w14:paraId="0C3FC1AC">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4.1投标文件上传</w:t>
      </w:r>
    </w:p>
    <w:p w14:paraId="2DFD11F5">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4.1.1请投标人通过系统下载投标工具制作投标文件，并利用CA数字证书进行上传投标文件，上传已加密的投标文件，务必通过此方式上传投标文件。</w:t>
      </w:r>
    </w:p>
    <w:p w14:paraId="3A5B38EB">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4.1.2投标人在投标文件编制、签章、上传过程中如有任何操作的疑问请及时拨打技术支持服务热线4009280095或者网站首页在线客服。</w:t>
      </w:r>
    </w:p>
    <w:p w14:paraId="04590351">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4.2投标文件的密封和标记</w:t>
      </w:r>
    </w:p>
    <w:p w14:paraId="79ACF025">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4.2.1投标文件应按照本章第3.5.6项要求制作并加密，未按要求加密的投标文件将被拒绝接收。以投标人在投标截止时间前网上递交的电子投标文件为准。</w:t>
      </w:r>
    </w:p>
    <w:p w14:paraId="27DA135E">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4.3 投标文件的递交</w:t>
      </w:r>
    </w:p>
    <w:p w14:paraId="645EB92A">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4.3.1 投标人应当在第一章“招标公告”规定的投标截止时间前，将加密投标文件上传至电子交易系统。</w:t>
      </w:r>
    </w:p>
    <w:p w14:paraId="74843F42">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4.3.2 除投标人须知前附表另有规定外，投标人所递交的投标文件不予退还。</w:t>
      </w:r>
    </w:p>
    <w:p w14:paraId="05897E92">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4.3.3 投标人应当在投标截止时间前完成投标文件的网上递交，并可以补充、修改或者撤回投标文件。投标截止时间前未完成投标文件网上递交的，视为撤回投标文件。未按规定加密或投标截止时间后通过网上招标投标系统递交电子投标文件的，电子交易系统应当拒收，投标无效。</w:t>
      </w:r>
    </w:p>
    <w:p w14:paraId="4EC1E358">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4.4 投标文件的修改与撤回</w:t>
      </w:r>
    </w:p>
    <w:p w14:paraId="0CBB500C">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1"/>
          <w:szCs w:val="21"/>
          <w:highlight w:val="none"/>
        </w:rPr>
        <w:t>4.4.1在第一章“招标公告”规定的投标截止时间前，投标人可以自行从网上开评标系统撤回已递交的投标文件，并可修改后重新加密上传，开标时以投标截止时间前投标人最终上传的投标文件为准。</w:t>
      </w:r>
    </w:p>
    <w:p w14:paraId="0D955FAD">
      <w:pPr>
        <w:keepNext w:val="0"/>
        <w:keepLines w:val="0"/>
        <w:pageBreakBefore w:val="0"/>
        <w:widowControl w:val="0"/>
        <w:kinsoku/>
        <w:wordWrap/>
        <w:overflowPunct/>
        <w:topLinePunct w:val="0"/>
        <w:autoSpaceDE/>
        <w:autoSpaceDN/>
        <w:bidi w:val="0"/>
        <w:spacing w:line="510" w:lineRule="exact"/>
        <w:jc w:val="center"/>
        <w:textAlignment w:val="auto"/>
        <w:outlineLvl w:val="1"/>
        <w:rPr>
          <w:rFonts w:hint="eastAsia" w:ascii="宋体" w:hAnsi="宋体" w:eastAsia="宋体" w:cs="宋体"/>
          <w:color w:val="auto"/>
          <w:sz w:val="28"/>
          <w:szCs w:val="28"/>
          <w:highlight w:val="none"/>
        </w:rPr>
      </w:pPr>
      <w:bookmarkStart w:id="7" w:name="_Toc18173"/>
      <w:r>
        <w:rPr>
          <w:rFonts w:hint="eastAsia" w:ascii="宋体" w:hAnsi="宋体" w:eastAsia="宋体" w:cs="宋体"/>
          <w:color w:val="auto"/>
          <w:sz w:val="28"/>
          <w:szCs w:val="28"/>
          <w:highlight w:val="none"/>
        </w:rPr>
        <w:t>五、开标、评标和定标</w:t>
      </w:r>
      <w:bookmarkEnd w:id="7"/>
    </w:p>
    <w:p w14:paraId="105ED9EA">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5.1 开标时间和地点</w:t>
      </w:r>
    </w:p>
    <w:p w14:paraId="411C0D7A">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招标人在“招标公告”规定的投标截止时间前（开标时间）和地点通过电子交易系统公开开标。</w:t>
      </w:r>
    </w:p>
    <w:p w14:paraId="22422B2A">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5.2 开标程序</w:t>
      </w:r>
    </w:p>
    <w:p w14:paraId="00BC2D3B">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主持人按下列程序进行开标：</w:t>
      </w:r>
    </w:p>
    <w:p w14:paraId="4B545C09">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（1）公布在投标截止时间前通过电子交易系统完成投标文件递交的投标人名称；</w:t>
      </w:r>
    </w:p>
    <w:p w14:paraId="1597C7E0">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（2）投标人在投标截止时间后在投标人须知前附表规定的解密时间内完成投标文件的解密工作；</w:t>
      </w:r>
    </w:p>
    <w:p w14:paraId="7C6102BD">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（3）招标人或招标代理机构完成解密工作，导入并读取所有成功解密的投标文件；</w:t>
      </w:r>
    </w:p>
    <w:p w14:paraId="45BAAE20">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（4）按投标人须知前附表规定公布投标人名称、标段名称、投标报价、质量目标、工期及其他内容；</w:t>
      </w:r>
    </w:p>
    <w:p w14:paraId="397A6414">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（5）开标结束。</w:t>
      </w:r>
    </w:p>
    <w:p w14:paraId="7B00DC49">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5.3 开标异议</w:t>
      </w:r>
    </w:p>
    <w:p w14:paraId="2E3356CE">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投标人对开标有异议的，应当在开标过程中提出，招标人在开标过程中作出答复，并制作记录。异议与答复应通过电子交易系统进行。</w:t>
      </w:r>
    </w:p>
    <w:p w14:paraId="0715C36A">
      <w:pPr>
        <w:pStyle w:val="5"/>
        <w:kinsoku/>
        <w:overflowPunct/>
        <w:bidi w:val="0"/>
        <w:adjustRightInd w:val="0"/>
        <w:snapToGrid w:val="0"/>
        <w:spacing w:before="0" w:after="0" w:line="440" w:lineRule="exact"/>
        <w:ind w:firstLine="422" w:firstLineChars="200"/>
        <w:rPr>
          <w:rFonts w:hint="eastAsia" w:ascii="黑体" w:hAnsi="黑体" w:eastAsia="黑体" w:cs="黑体"/>
          <w:color w:val="000000"/>
          <w:sz w:val="21"/>
          <w:szCs w:val="21"/>
        </w:rPr>
      </w:pPr>
      <w:bookmarkStart w:id="8" w:name="_Toc4260"/>
      <w:bookmarkStart w:id="9" w:name="_Toc296602452"/>
      <w:bookmarkStart w:id="10" w:name="_Toc179632581"/>
      <w:bookmarkStart w:id="11" w:name="_Toc246996950"/>
      <w:bookmarkStart w:id="12" w:name="_Toc95223370"/>
      <w:bookmarkStart w:id="13" w:name="_Toc152042339"/>
      <w:bookmarkStart w:id="14" w:name="_Toc152045563"/>
      <w:bookmarkStart w:id="15" w:name="_Toc144974531"/>
      <w:bookmarkStart w:id="16" w:name="_Toc246996207"/>
      <w:bookmarkStart w:id="17" w:name="_Toc324404847"/>
      <w:bookmarkStart w:id="18" w:name="_Toc60061467"/>
      <w:bookmarkStart w:id="19" w:name="_Toc83301722"/>
      <w:bookmarkStart w:id="20" w:name="_Toc506107300"/>
      <w:bookmarkStart w:id="21" w:name="_Toc9776"/>
      <w:bookmarkStart w:id="22" w:name="_Toc247085721"/>
      <w:bookmarkStart w:id="23" w:name="_Toc15058885"/>
      <w:r>
        <w:rPr>
          <w:rFonts w:hint="eastAsia" w:ascii="黑体" w:hAnsi="黑体" w:eastAsia="黑体" w:cs="黑体"/>
          <w:color w:val="000000"/>
          <w:sz w:val="21"/>
          <w:szCs w:val="21"/>
        </w:rPr>
        <w:t>6.1 评标委员会</w:t>
      </w:r>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p w14:paraId="040AAEE5">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34C863D4">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6.1.2 评标委员会成员有下列情形之一的，应当回避：</w:t>
      </w:r>
    </w:p>
    <w:p w14:paraId="3130C6BB">
      <w:pPr>
        <w:kinsoku/>
        <w:overflowPunct/>
        <w:bidi w:val="0"/>
        <w:adjustRightInd w:val="0"/>
        <w:snapToGrid w:val="0"/>
        <w:spacing w:line="440" w:lineRule="exact"/>
        <w:ind w:firstLine="420" w:firstLineChars="200"/>
        <w:rPr>
          <w:rFonts w:ascii="宋体" w:hAnsi="宋体" w:cs="宋体"/>
          <w:color w:val="000000"/>
          <w:szCs w:val="21"/>
        </w:rPr>
      </w:pPr>
      <w:r>
        <w:rPr>
          <w:rFonts w:hint="eastAsia" w:ascii="宋体" w:hAnsi="宋体" w:cs="宋体"/>
          <w:color w:val="000000"/>
          <w:szCs w:val="21"/>
        </w:rPr>
        <w:t>（1）项目主管部门或行政监督管理部门，项目属地的公共资源交易综合管理部门、交易中心的工作人员；</w:t>
      </w:r>
      <w:r>
        <w:rPr>
          <w:rFonts w:ascii="宋体" w:hAnsi="宋体" w:cs="宋体"/>
          <w:color w:val="000000"/>
          <w:szCs w:val="21"/>
        </w:rPr>
        <w:t xml:space="preserve"> </w:t>
      </w:r>
    </w:p>
    <w:p w14:paraId="254C7D15">
      <w:pPr>
        <w:kinsoku/>
        <w:overflowPunct/>
        <w:bidi w:val="0"/>
        <w:adjustRightInd w:val="0"/>
        <w:snapToGrid w:val="0"/>
        <w:spacing w:line="440" w:lineRule="exact"/>
        <w:ind w:firstLine="420" w:firstLineChars="200"/>
        <w:rPr>
          <w:rFonts w:ascii="宋体" w:hAnsi="宋体" w:cs="宋体"/>
          <w:color w:val="000000"/>
          <w:szCs w:val="21"/>
        </w:rPr>
      </w:pPr>
      <w:r>
        <w:rPr>
          <w:rFonts w:hint="eastAsia" w:ascii="宋体" w:hAnsi="宋体" w:cs="宋体"/>
          <w:color w:val="000000"/>
          <w:szCs w:val="21"/>
        </w:rPr>
        <w:t>（2）与竞争主体主要负责人或者授权参与交易的代理人有近亲属关系的人员；</w:t>
      </w:r>
      <w:r>
        <w:rPr>
          <w:rFonts w:ascii="宋体" w:hAnsi="宋体" w:cs="宋体"/>
          <w:color w:val="000000"/>
          <w:szCs w:val="21"/>
        </w:rPr>
        <w:t xml:space="preserve"> </w:t>
      </w:r>
    </w:p>
    <w:p w14:paraId="55ADF109">
      <w:pPr>
        <w:kinsoku/>
        <w:overflowPunct/>
        <w:bidi w:val="0"/>
        <w:adjustRightInd w:val="0"/>
        <w:snapToGrid w:val="0"/>
        <w:spacing w:line="440" w:lineRule="exact"/>
        <w:ind w:firstLine="420" w:firstLineChars="200"/>
        <w:rPr>
          <w:rFonts w:ascii="宋体" w:hAnsi="宋体" w:cs="宋体"/>
          <w:color w:val="000000"/>
          <w:szCs w:val="21"/>
        </w:rPr>
      </w:pPr>
      <w:r>
        <w:rPr>
          <w:rFonts w:hint="eastAsia" w:ascii="宋体" w:hAnsi="宋体" w:cs="宋体"/>
          <w:color w:val="000000"/>
          <w:szCs w:val="21"/>
        </w:rPr>
        <w:t>（3）竞争主体的工作人员或者退休人员；</w:t>
      </w:r>
      <w:r>
        <w:rPr>
          <w:rFonts w:ascii="宋体" w:hAnsi="宋体" w:cs="宋体"/>
          <w:color w:val="000000"/>
          <w:szCs w:val="21"/>
        </w:rPr>
        <w:t xml:space="preserve"> </w:t>
      </w:r>
    </w:p>
    <w:p w14:paraId="7BE8583A">
      <w:pPr>
        <w:kinsoku/>
        <w:overflowPunct/>
        <w:bidi w:val="0"/>
        <w:adjustRightInd w:val="0"/>
        <w:snapToGrid w:val="0"/>
        <w:spacing w:line="440" w:lineRule="exact"/>
        <w:ind w:firstLine="420" w:firstLineChars="200"/>
        <w:rPr>
          <w:rFonts w:ascii="宋体" w:hAnsi="宋体" w:cs="宋体"/>
          <w:color w:val="000000"/>
          <w:szCs w:val="21"/>
        </w:rPr>
      </w:pPr>
      <w:r>
        <w:rPr>
          <w:rFonts w:hint="eastAsia" w:ascii="宋体" w:hAnsi="宋体" w:cs="宋体"/>
          <w:color w:val="000000"/>
          <w:szCs w:val="21"/>
        </w:rPr>
        <w:t>（4）竞争主体的上级主管、控股或者被控股单位等相关利害关系的人员，或任职单位与竞争主体单位为同一法定代表人的；</w:t>
      </w:r>
      <w:r>
        <w:rPr>
          <w:rFonts w:ascii="宋体" w:hAnsi="宋体" w:cs="宋体"/>
          <w:color w:val="000000"/>
          <w:szCs w:val="21"/>
        </w:rPr>
        <w:t xml:space="preserve"> </w:t>
      </w:r>
    </w:p>
    <w:p w14:paraId="00912CCC">
      <w:pPr>
        <w:kinsoku/>
        <w:overflowPunct/>
        <w:bidi w:val="0"/>
        <w:adjustRightInd w:val="0"/>
        <w:snapToGrid w:val="0"/>
        <w:spacing w:line="440" w:lineRule="exact"/>
        <w:ind w:firstLine="420" w:firstLineChars="200"/>
        <w:rPr>
          <w:rFonts w:ascii="宋体" w:hAnsi="宋体" w:cs="宋体"/>
          <w:color w:val="000000"/>
          <w:szCs w:val="21"/>
        </w:rPr>
      </w:pPr>
      <w:r>
        <w:rPr>
          <w:rFonts w:hint="eastAsia" w:ascii="宋体" w:hAnsi="宋体" w:cs="宋体"/>
          <w:color w:val="000000"/>
          <w:szCs w:val="21"/>
        </w:rPr>
        <w:t>（5）存在其他法定回避情形的。</w:t>
      </w:r>
    </w:p>
    <w:p w14:paraId="1DCBAA7A">
      <w:pPr>
        <w:kinsoku/>
        <w:overflowPunct/>
        <w:bidi w:val="0"/>
        <w:adjustRightInd w:val="0"/>
        <w:snapToGrid w:val="0"/>
        <w:spacing w:line="440" w:lineRule="exact"/>
        <w:ind w:firstLine="420" w:firstLineChars="200"/>
        <w:rPr>
          <w:rFonts w:ascii="宋体" w:hAnsi="宋体" w:cs="宋体"/>
          <w:color w:val="000000"/>
          <w:szCs w:val="21"/>
        </w:rPr>
      </w:pPr>
      <w:r>
        <w:rPr>
          <w:rFonts w:hint="eastAsia" w:ascii="宋体" w:hAnsi="宋体" w:cs="宋体"/>
          <w:color w:val="000000"/>
          <w:szCs w:val="21"/>
        </w:rPr>
        <w:t>评标委员会或评审机构成员有前两款规定情形的，应当主动提出回避；已经进入的应当更换，被更换的成员评标评审意见无效。</w:t>
      </w:r>
      <w:r>
        <w:rPr>
          <w:rFonts w:ascii="宋体" w:hAnsi="宋体" w:cs="宋体"/>
          <w:color w:val="000000"/>
          <w:szCs w:val="21"/>
        </w:rPr>
        <w:t xml:space="preserve"> </w:t>
      </w:r>
    </w:p>
    <w:p w14:paraId="023EEA8E">
      <w:pPr>
        <w:kinsoku/>
        <w:overflowPunct/>
        <w:bidi w:val="0"/>
        <w:adjustRightInd w:val="0"/>
        <w:snapToGrid w:val="0"/>
        <w:spacing w:line="44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6.1.3评标过程中，评标委员会成员有回避事由、擅离职守或因健康等原因不能继续评标的， 招标人有权更换。被更换的评标委员会成员作出的评审结论无效，由更换后的评标委员会成员重新进行评审。</w:t>
      </w:r>
    </w:p>
    <w:p w14:paraId="42F66C8B">
      <w:pPr>
        <w:pStyle w:val="5"/>
        <w:kinsoku/>
        <w:overflowPunct/>
        <w:bidi w:val="0"/>
        <w:adjustRightInd w:val="0"/>
        <w:snapToGrid w:val="0"/>
        <w:spacing w:before="0" w:after="0" w:line="440" w:lineRule="exact"/>
        <w:ind w:firstLine="422" w:firstLineChars="200"/>
        <w:rPr>
          <w:rFonts w:hint="eastAsia" w:ascii="黑体" w:hAnsi="黑体" w:eastAsia="黑体" w:cs="黑体"/>
          <w:color w:val="000000"/>
          <w:sz w:val="21"/>
          <w:szCs w:val="21"/>
        </w:rPr>
      </w:pPr>
      <w:bookmarkStart w:id="24" w:name="_Toc506107301"/>
      <w:bookmarkStart w:id="25" w:name="_Toc95223371"/>
      <w:bookmarkStart w:id="26" w:name="_Toc247085722"/>
      <w:bookmarkStart w:id="27" w:name="_Toc144974532"/>
      <w:bookmarkStart w:id="28" w:name="_Toc20923"/>
      <w:bookmarkStart w:id="29" w:name="_Toc246996951"/>
      <w:bookmarkStart w:id="30" w:name="_Toc246996208"/>
      <w:bookmarkStart w:id="31" w:name="_Toc296602453"/>
      <w:bookmarkStart w:id="32" w:name="_Toc152042340"/>
      <w:bookmarkStart w:id="33" w:name="_Toc15058886"/>
      <w:bookmarkStart w:id="34" w:name="_Toc324404848"/>
      <w:bookmarkStart w:id="35" w:name="_Toc26801"/>
      <w:bookmarkStart w:id="36" w:name="_Toc179632582"/>
      <w:bookmarkStart w:id="37" w:name="_Toc60061468"/>
      <w:bookmarkStart w:id="38" w:name="_Toc83301723"/>
      <w:bookmarkStart w:id="39" w:name="_Toc152045564"/>
      <w:r>
        <w:rPr>
          <w:rFonts w:hint="eastAsia" w:ascii="黑体" w:hAnsi="黑体" w:eastAsia="黑体" w:cs="黑体"/>
          <w:color w:val="000000"/>
          <w:sz w:val="21"/>
          <w:szCs w:val="21"/>
        </w:rPr>
        <w:t>6.2 评标原则</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p>
    <w:p w14:paraId="435AFCA4">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评标活动遵循公平、公正、科学和择优的原则。</w:t>
      </w:r>
    </w:p>
    <w:p w14:paraId="40071F54">
      <w:pPr>
        <w:pStyle w:val="5"/>
        <w:kinsoku/>
        <w:overflowPunct/>
        <w:bidi w:val="0"/>
        <w:adjustRightInd w:val="0"/>
        <w:snapToGrid w:val="0"/>
        <w:spacing w:before="0" w:after="0" w:line="440" w:lineRule="exact"/>
        <w:ind w:firstLine="422" w:firstLineChars="200"/>
        <w:rPr>
          <w:rFonts w:hint="eastAsia" w:ascii="黑体" w:hAnsi="黑体" w:eastAsia="黑体" w:cs="黑体"/>
          <w:color w:val="000000"/>
          <w:sz w:val="21"/>
          <w:szCs w:val="21"/>
        </w:rPr>
      </w:pPr>
      <w:bookmarkStart w:id="40" w:name="_Toc60061469"/>
      <w:bookmarkStart w:id="41" w:name="_Toc152045565"/>
      <w:bookmarkStart w:id="42" w:name="_Toc324404849"/>
      <w:bookmarkStart w:id="43" w:name="_Toc95223372"/>
      <w:bookmarkStart w:id="44" w:name="_Toc144974533"/>
      <w:bookmarkStart w:id="45" w:name="_Toc26654"/>
      <w:bookmarkStart w:id="46" w:name="_Toc296602454"/>
      <w:bookmarkStart w:id="47" w:name="_Toc17223"/>
      <w:bookmarkStart w:id="48" w:name="_Toc246996209"/>
      <w:bookmarkStart w:id="49" w:name="_Toc83301724"/>
      <w:bookmarkStart w:id="50" w:name="_Toc506107302"/>
      <w:bookmarkStart w:id="51" w:name="_Toc152042341"/>
      <w:bookmarkStart w:id="52" w:name="_Toc247085723"/>
      <w:bookmarkStart w:id="53" w:name="_Toc15058887"/>
      <w:bookmarkStart w:id="54" w:name="_Toc246996952"/>
      <w:bookmarkStart w:id="55" w:name="_Toc179632583"/>
      <w:r>
        <w:rPr>
          <w:rFonts w:hint="eastAsia" w:ascii="黑体" w:hAnsi="黑体" w:eastAsia="黑体" w:cs="黑体"/>
          <w:color w:val="000000"/>
          <w:sz w:val="21"/>
          <w:szCs w:val="21"/>
        </w:rPr>
        <w:t>6.3 评标</w:t>
      </w:r>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r>
        <w:rPr>
          <w:rFonts w:hint="eastAsia" w:ascii="黑体" w:hAnsi="黑体" w:eastAsia="黑体" w:cs="黑体"/>
          <w:color w:val="000000"/>
          <w:sz w:val="21"/>
          <w:szCs w:val="21"/>
        </w:rPr>
        <w:t xml:space="preserve">    </w:t>
      </w:r>
    </w:p>
    <w:p w14:paraId="26A7E2A0">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6.3.1评标委员会按照第四章“评标办法”规定的方法、评审因素、标准和程序对投标文件进行评审。第四章“评标办法”没有规定的方法、评审因素和标准，不作为评标依据。</w:t>
      </w:r>
    </w:p>
    <w:p w14:paraId="15DDF648">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6.3.2评标完成后，评标委员会应向招标人提交书面评标报告和中标候选人名单。评标委员会推荐中标候选人的人数见投标人须知前附表。</w:t>
      </w:r>
    </w:p>
    <w:p w14:paraId="30408ECB">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7</w:t>
      </w:r>
      <w:r>
        <w:rPr>
          <w:rFonts w:hint="eastAsia" w:ascii="宋体" w:hAnsi="宋体" w:eastAsia="宋体" w:cs="宋体"/>
          <w:color w:val="auto"/>
          <w:sz w:val="21"/>
          <w:szCs w:val="21"/>
          <w:highlight w:val="none"/>
        </w:rPr>
        <w:t>.   定标</w:t>
      </w:r>
    </w:p>
    <w:p w14:paraId="05F2F753">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7</w:t>
      </w:r>
      <w:r>
        <w:rPr>
          <w:rFonts w:hint="eastAsia" w:ascii="宋体" w:hAnsi="宋体" w:eastAsia="宋体" w:cs="宋体"/>
          <w:color w:val="auto"/>
          <w:sz w:val="21"/>
          <w:szCs w:val="21"/>
          <w:highlight w:val="none"/>
        </w:rPr>
        <w:t>.1  中标候选人和中标人的确定</w:t>
      </w:r>
    </w:p>
    <w:p w14:paraId="6CFE22A7">
      <w:pPr>
        <w:keepNext w:val="0"/>
        <w:keepLines w:val="0"/>
        <w:pageBreakBefore w:val="0"/>
        <w:widowControl w:val="0"/>
        <w:kinsoku/>
        <w:wordWrap/>
        <w:overflowPunct/>
        <w:topLinePunct w:val="0"/>
        <w:autoSpaceDE/>
        <w:autoSpaceDN/>
        <w:bidi w:val="0"/>
        <w:spacing w:line="510" w:lineRule="exact"/>
        <w:jc w:val="left"/>
        <w:textAlignment w:val="auto"/>
        <w:outlineLvl w:val="1"/>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7</w:t>
      </w:r>
      <w:r>
        <w:rPr>
          <w:rFonts w:hint="eastAsia" w:ascii="宋体" w:hAnsi="宋体" w:eastAsia="宋体" w:cs="宋体"/>
          <w:color w:val="auto"/>
          <w:sz w:val="21"/>
          <w:szCs w:val="21"/>
          <w:highlight w:val="none"/>
        </w:rPr>
        <w:t>.1.1</w:t>
      </w:r>
      <w:bookmarkStart w:id="56" w:name="_Toc21491"/>
      <w:r>
        <w:rPr>
          <w:rFonts w:hint="eastAsia" w:ascii="宋体" w:hAnsi="宋体" w:eastAsia="宋体" w:cs="宋体"/>
          <w:color w:val="auto"/>
          <w:sz w:val="21"/>
          <w:szCs w:val="21"/>
          <w:highlight w:val="none"/>
        </w:rPr>
        <w:t>本次评标采用</w:t>
      </w:r>
      <w:r>
        <w:rPr>
          <w:rFonts w:hint="eastAsia" w:ascii="宋体" w:hAnsi="宋体" w:cs="宋体"/>
          <w:color w:val="auto"/>
          <w:sz w:val="21"/>
          <w:szCs w:val="21"/>
          <w:highlight w:val="none"/>
          <w:lang w:eastAsia="zh-CN"/>
        </w:rPr>
        <w:t>最低评标价法</w:t>
      </w:r>
      <w:r>
        <w:rPr>
          <w:rFonts w:hint="eastAsia" w:ascii="宋体" w:hAnsi="宋体" w:eastAsia="宋体" w:cs="宋体"/>
          <w:color w:val="auto"/>
          <w:sz w:val="21"/>
          <w:szCs w:val="21"/>
          <w:highlight w:val="none"/>
        </w:rPr>
        <w:t>。评标委员会按修正后按投标报价（扣除可抵扣的进项税后的金额）由低到高顺序排序，确定中标候选人。如出现报价相同情况，则由开票税率从高到低确定中标候选人排名顺序，若开票税率也相同，则由招标人</w:t>
      </w:r>
      <w:r>
        <w:rPr>
          <w:rFonts w:hint="eastAsia" w:ascii="宋体" w:hAnsi="宋体" w:cs="宋体"/>
          <w:color w:val="auto"/>
          <w:sz w:val="21"/>
          <w:szCs w:val="21"/>
          <w:highlight w:val="none"/>
          <w:lang w:val="en-US" w:eastAsia="zh-CN"/>
        </w:rPr>
        <w:t>或评标委员会</w:t>
      </w:r>
      <w:r>
        <w:rPr>
          <w:rFonts w:hint="eastAsia" w:ascii="宋体" w:hAnsi="宋体" w:eastAsia="宋体" w:cs="宋体"/>
          <w:color w:val="auto"/>
          <w:sz w:val="21"/>
          <w:szCs w:val="21"/>
          <w:highlight w:val="none"/>
        </w:rPr>
        <w:t>随机抽取确定。备注：所有计算均保留小数点后两位，第三位四舍五入进行计算。</w:t>
      </w:r>
    </w:p>
    <w:p w14:paraId="4EE556E0">
      <w:pPr>
        <w:keepNext w:val="0"/>
        <w:keepLines w:val="0"/>
        <w:pageBreakBefore w:val="0"/>
        <w:widowControl w:val="0"/>
        <w:kinsoku/>
        <w:wordWrap/>
        <w:overflowPunct/>
        <w:topLinePunct w:val="0"/>
        <w:autoSpaceDE/>
        <w:autoSpaceDN/>
        <w:bidi w:val="0"/>
        <w:spacing w:line="510" w:lineRule="exact"/>
        <w:jc w:val="left"/>
        <w:textAlignment w:val="auto"/>
        <w:outlineLvl w:val="1"/>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7</w:t>
      </w:r>
      <w:r>
        <w:rPr>
          <w:rFonts w:hint="eastAsia" w:ascii="宋体" w:hAnsi="宋体" w:eastAsia="宋体" w:cs="宋体"/>
          <w:color w:val="auto"/>
          <w:sz w:val="21"/>
          <w:szCs w:val="21"/>
          <w:highlight w:val="none"/>
        </w:rPr>
        <w:t>.1.2商务标评审表注：</w:t>
      </w:r>
    </w:p>
    <w:p w14:paraId="5416EB55">
      <w:pPr>
        <w:keepNext w:val="0"/>
        <w:keepLines w:val="0"/>
        <w:pageBreakBefore w:val="0"/>
        <w:widowControl w:val="0"/>
        <w:kinsoku/>
        <w:wordWrap/>
        <w:overflowPunct/>
        <w:topLinePunct w:val="0"/>
        <w:autoSpaceDE/>
        <w:autoSpaceDN/>
        <w:bidi w:val="0"/>
        <w:spacing w:line="510" w:lineRule="exact"/>
        <w:jc w:val="left"/>
        <w:textAlignment w:val="auto"/>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1、只有通过商务标符合性评审的投标人才能参加评分。</w:t>
      </w:r>
    </w:p>
    <w:p w14:paraId="1AF4F4B0">
      <w:pPr>
        <w:keepNext w:val="0"/>
        <w:keepLines w:val="0"/>
        <w:pageBreakBefore w:val="0"/>
        <w:widowControl w:val="0"/>
        <w:kinsoku/>
        <w:wordWrap/>
        <w:overflowPunct/>
        <w:topLinePunct w:val="0"/>
        <w:autoSpaceDE/>
        <w:autoSpaceDN/>
        <w:bidi w:val="0"/>
        <w:spacing w:line="510" w:lineRule="exact"/>
        <w:jc w:val="left"/>
        <w:textAlignment w:val="auto"/>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2、投标报价是指按招标文件规定修正后的投标总报价（多算投标报价、多报费用不扣减）。</w:t>
      </w:r>
    </w:p>
    <w:p w14:paraId="7D46B28B">
      <w:pPr>
        <w:keepNext w:val="0"/>
        <w:keepLines w:val="0"/>
        <w:pageBreakBefore w:val="0"/>
        <w:widowControl w:val="0"/>
        <w:kinsoku/>
        <w:wordWrap/>
        <w:overflowPunct/>
        <w:topLinePunct w:val="0"/>
        <w:autoSpaceDE/>
        <w:autoSpaceDN/>
        <w:bidi w:val="0"/>
        <w:spacing w:line="510" w:lineRule="exact"/>
        <w:jc w:val="left"/>
        <w:textAlignment w:val="auto"/>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3、报价修正原则：</w:t>
      </w:r>
    </w:p>
    <w:p w14:paraId="662064AC">
      <w:pPr>
        <w:keepNext w:val="0"/>
        <w:keepLines w:val="0"/>
        <w:pageBreakBefore w:val="0"/>
        <w:widowControl w:val="0"/>
        <w:kinsoku/>
        <w:wordWrap/>
        <w:overflowPunct/>
        <w:topLinePunct w:val="0"/>
        <w:autoSpaceDE/>
        <w:autoSpaceDN/>
        <w:bidi w:val="0"/>
        <w:spacing w:line="510" w:lineRule="exact"/>
        <w:jc w:val="left"/>
        <w:textAlignment w:val="auto"/>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评标小组审查投标文件，看其是否有计算或表达上的错误，投标报价有错误的，评标小组按以下原则对投标报价进行修正。</w:t>
      </w:r>
    </w:p>
    <w:p w14:paraId="6D2A0E04">
      <w:pPr>
        <w:keepNext w:val="0"/>
        <w:keepLines w:val="0"/>
        <w:pageBreakBefore w:val="0"/>
        <w:widowControl w:val="0"/>
        <w:kinsoku/>
        <w:wordWrap/>
        <w:overflowPunct/>
        <w:topLinePunct w:val="0"/>
        <w:autoSpaceDE/>
        <w:autoSpaceDN/>
        <w:bidi w:val="0"/>
        <w:spacing w:line="510" w:lineRule="exact"/>
        <w:jc w:val="left"/>
        <w:textAlignment w:val="auto"/>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（1）投标文件中的大写金额与小写金额不一致的，以大写金额为准。</w:t>
      </w:r>
    </w:p>
    <w:p w14:paraId="7542E1E4">
      <w:pPr>
        <w:keepNext w:val="0"/>
        <w:keepLines w:val="0"/>
        <w:pageBreakBefore w:val="0"/>
        <w:widowControl w:val="0"/>
        <w:kinsoku/>
        <w:wordWrap/>
        <w:overflowPunct/>
        <w:topLinePunct w:val="0"/>
        <w:autoSpaceDE/>
        <w:autoSpaceDN/>
        <w:bidi w:val="0"/>
        <w:spacing w:line="510" w:lineRule="exact"/>
        <w:jc w:val="left"/>
        <w:textAlignment w:val="auto"/>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（2）总价金额与依据单价计算出的结果不一致的，以单价金额为准修正总价，但单价金额小数点有明显错误的除外。</w:t>
      </w:r>
    </w:p>
    <w:p w14:paraId="2AF11924">
      <w:pPr>
        <w:keepNext w:val="0"/>
        <w:keepLines w:val="0"/>
        <w:pageBreakBefore w:val="0"/>
        <w:widowControl w:val="0"/>
        <w:kinsoku/>
        <w:wordWrap/>
        <w:overflowPunct/>
        <w:topLinePunct w:val="0"/>
        <w:autoSpaceDE/>
        <w:autoSpaceDN/>
        <w:bidi w:val="0"/>
        <w:spacing w:line="510" w:lineRule="exact"/>
        <w:jc w:val="left"/>
        <w:textAlignment w:val="auto"/>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上述修正错误的原则及方法调整或修正投标文件的投标报价，调整或修正的价格经投标人书面确认后具有约束力。中标价原则上以调整或修正后的价格为准，调整或修正后的价格与投标报价相比，价格低的为中标价。投标人不接受的，其投标将被拒绝。</w:t>
      </w:r>
    </w:p>
    <w:p w14:paraId="466CE590">
      <w:pPr>
        <w:keepNext w:val="0"/>
        <w:keepLines w:val="0"/>
        <w:pageBreakBefore w:val="0"/>
        <w:widowControl w:val="0"/>
        <w:kinsoku/>
        <w:wordWrap/>
        <w:overflowPunct/>
        <w:topLinePunct w:val="0"/>
        <w:autoSpaceDE/>
        <w:autoSpaceDN/>
        <w:bidi w:val="0"/>
        <w:spacing w:line="510" w:lineRule="exact"/>
        <w:jc w:val="center"/>
        <w:textAlignment w:val="auto"/>
        <w:outlineLvl w:val="1"/>
        <w:rPr>
          <w:rFonts w:hint="eastAsia" w:ascii="宋体" w:hAnsi="宋体" w:eastAsia="宋体" w:cs="宋体"/>
          <w:color w:val="auto"/>
          <w:sz w:val="28"/>
          <w:szCs w:val="28"/>
          <w:highlight w:val="none"/>
        </w:rPr>
      </w:pPr>
    </w:p>
    <w:p w14:paraId="502E5792">
      <w:pPr>
        <w:keepNext w:val="0"/>
        <w:keepLines w:val="0"/>
        <w:pageBreakBefore w:val="0"/>
        <w:widowControl w:val="0"/>
        <w:kinsoku/>
        <w:wordWrap/>
        <w:overflowPunct/>
        <w:topLinePunct w:val="0"/>
        <w:autoSpaceDE/>
        <w:autoSpaceDN/>
        <w:bidi w:val="0"/>
        <w:spacing w:line="510" w:lineRule="exact"/>
        <w:jc w:val="center"/>
        <w:textAlignment w:val="auto"/>
        <w:outlineLvl w:val="1"/>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六、合同的授予</w:t>
      </w:r>
      <w:bookmarkEnd w:id="56"/>
    </w:p>
    <w:p w14:paraId="2FD38207">
      <w:pPr>
        <w:keepNext w:val="0"/>
        <w:keepLines w:val="0"/>
        <w:pageBreakBefore w:val="0"/>
        <w:widowControl w:val="0"/>
        <w:kinsoku/>
        <w:wordWrap/>
        <w:overflowPunct/>
        <w:topLinePunct w:val="0"/>
        <w:autoSpaceDE/>
        <w:autoSpaceDN/>
        <w:bidi w:val="0"/>
        <w:adjustRightInd/>
        <w:snapToGrid/>
        <w:spacing w:line="510" w:lineRule="exact"/>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rPr>
        <w:t>.   合同授予标准</w:t>
      </w:r>
    </w:p>
    <w:p w14:paraId="486C5686">
      <w:pPr>
        <w:keepNext w:val="0"/>
        <w:keepLines w:val="0"/>
        <w:pageBreakBefore w:val="0"/>
        <w:widowControl w:val="0"/>
        <w:kinsoku/>
        <w:wordWrap/>
        <w:overflowPunct/>
        <w:topLinePunct w:val="0"/>
        <w:autoSpaceDE/>
        <w:autoSpaceDN/>
        <w:bidi w:val="0"/>
        <w:adjustRightInd/>
        <w:snapToGrid/>
        <w:spacing w:line="510" w:lineRule="exact"/>
        <w:jc w:val="left"/>
        <w:textAlignment w:val="auto"/>
        <w:rPr>
          <w:rFonts w:hint="eastAsia" w:ascii="宋体" w:hAnsi="宋体" w:eastAsia="宋体" w:cs="宋体"/>
          <w:b/>
          <w:bCs/>
          <w:color w:val="auto"/>
          <w:sz w:val="21"/>
          <w:szCs w:val="21"/>
          <w:highlight w:val="none"/>
        </w:rPr>
      </w:pP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rPr>
        <w:t>.1  本招标工程的合同授予按本须知规定所确定的中标人。</w:t>
      </w:r>
    </w:p>
    <w:p w14:paraId="7C6C72F6">
      <w:pPr>
        <w:keepNext w:val="0"/>
        <w:keepLines w:val="0"/>
        <w:pageBreakBefore w:val="0"/>
        <w:widowControl w:val="0"/>
        <w:kinsoku/>
        <w:wordWrap/>
        <w:overflowPunct/>
        <w:topLinePunct w:val="0"/>
        <w:autoSpaceDE/>
        <w:autoSpaceDN/>
        <w:bidi w:val="0"/>
        <w:adjustRightInd/>
        <w:snapToGrid/>
        <w:spacing w:line="510" w:lineRule="exact"/>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   合同协议书的签订</w:t>
      </w:r>
    </w:p>
    <w:p w14:paraId="53D0FC6E">
      <w:pPr>
        <w:keepNext w:val="0"/>
        <w:keepLines w:val="0"/>
        <w:pageBreakBefore w:val="0"/>
        <w:widowControl w:val="0"/>
        <w:kinsoku/>
        <w:wordWrap/>
        <w:overflowPunct/>
        <w:topLinePunct w:val="0"/>
        <w:autoSpaceDE/>
        <w:autoSpaceDN/>
        <w:bidi w:val="0"/>
        <w:adjustRightInd/>
        <w:snapToGrid/>
        <w:spacing w:line="510" w:lineRule="exact"/>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.1  中标通知书发放后3</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日内，按照招标文件和中标人的投标文件订立书面合同。招标人和中标人不得再行订立背离合同实质性内容的其他协议。</w:t>
      </w:r>
    </w:p>
    <w:p w14:paraId="01DDFB0E">
      <w:pPr>
        <w:keepNext w:val="0"/>
        <w:keepLines w:val="0"/>
        <w:pageBreakBefore w:val="0"/>
        <w:widowControl w:val="0"/>
        <w:kinsoku/>
        <w:wordWrap/>
        <w:overflowPunct/>
        <w:topLinePunct w:val="0"/>
        <w:autoSpaceDE/>
        <w:autoSpaceDN/>
        <w:bidi w:val="0"/>
        <w:adjustRightInd/>
        <w:snapToGrid/>
        <w:spacing w:line="510" w:lineRule="exact"/>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 xml:space="preserve">.2 </w:t>
      </w:r>
      <w:r>
        <w:rPr>
          <w:rFonts w:hint="eastAsia" w:ascii="宋体" w:hAnsi="宋体" w:eastAsia="宋体" w:cs="宋体"/>
          <w:color w:val="auto"/>
          <w:sz w:val="21"/>
          <w:szCs w:val="21"/>
          <w:highlight w:val="none"/>
        </w:rPr>
        <w:t xml:space="preserve"> 中标人如不按本投标须知的规定与招标人订立合同，则招标人将取消其中标资格，给招标人造成的损失超过投标担保数额的，还应当对超过部分予以赔偿，同时依法承担相应法律责任。</w:t>
      </w:r>
    </w:p>
    <w:p w14:paraId="4CDB8BEF">
      <w:pPr>
        <w:keepNext w:val="0"/>
        <w:keepLines w:val="0"/>
        <w:pageBreakBefore w:val="0"/>
        <w:widowControl w:val="0"/>
        <w:kinsoku/>
        <w:wordWrap/>
        <w:overflowPunct/>
        <w:topLinePunct w:val="0"/>
        <w:autoSpaceDE/>
        <w:autoSpaceDN/>
        <w:bidi w:val="0"/>
        <w:adjustRightInd/>
        <w:snapToGrid/>
        <w:spacing w:line="510" w:lineRule="exact"/>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 xml:space="preserve">  中标人应当按照合同约定履行义务，完成中标项目的实施，不得将中标项目转让（转包）给他人。</w:t>
      </w:r>
      <w:bookmarkStart w:id="57" w:name="_Toc3222"/>
      <w:bookmarkStart w:id="58" w:name="_Toc12737"/>
      <w:bookmarkStart w:id="59" w:name="_Toc31589_WPSOffice_Level1"/>
    </w:p>
    <w:p w14:paraId="704B14C5">
      <w:pPr>
        <w:pageBreakBefore/>
        <w:spacing w:before="120" w:beforeLines="50" w:after="120" w:afterLines="50" w:line="360" w:lineRule="auto"/>
        <w:jc w:val="center"/>
        <w:outlineLvl w:val="0"/>
        <w:rPr>
          <w:rFonts w:hint="eastAsia"/>
          <w:b/>
          <w:bCs/>
          <w:sz w:val="28"/>
          <w:szCs w:val="28"/>
        </w:rPr>
      </w:pPr>
      <w:bookmarkStart w:id="60" w:name="_Toc324404864"/>
      <w:bookmarkStart w:id="61" w:name="_Toc506107317"/>
      <w:bookmarkStart w:id="62" w:name="_Toc22455"/>
      <w:bookmarkStart w:id="63" w:name="_Toc11130"/>
      <w:bookmarkStart w:id="64" w:name="_Toc79686984"/>
      <w:bookmarkStart w:id="65" w:name="_Toc15058902"/>
      <w:r>
        <w:rPr>
          <w:rFonts w:hint="eastAsia"/>
          <w:b/>
          <w:bCs/>
          <w:sz w:val="28"/>
          <w:szCs w:val="28"/>
        </w:rPr>
        <w:t>第二章 资格审查</w:t>
      </w:r>
      <w:bookmarkEnd w:id="60"/>
      <w:r>
        <w:rPr>
          <w:rFonts w:hint="eastAsia"/>
          <w:b/>
          <w:bCs/>
          <w:sz w:val="28"/>
          <w:szCs w:val="28"/>
        </w:rPr>
        <w:t>办法</w:t>
      </w:r>
      <w:bookmarkEnd w:id="61"/>
      <w:bookmarkEnd w:id="62"/>
      <w:bookmarkEnd w:id="63"/>
      <w:bookmarkEnd w:id="64"/>
      <w:bookmarkEnd w:id="65"/>
    </w:p>
    <w:p w14:paraId="5CC54FAA">
      <w:pPr>
        <w:spacing w:before="120" w:beforeLines="50" w:after="120" w:afterLines="50" w:line="440" w:lineRule="exact"/>
        <w:jc w:val="center"/>
        <w:rPr>
          <w:rFonts w:hint="eastAsia" w:ascii="宋体" w:hAnsi="宋体" w:cs="宋体"/>
          <w:b/>
          <w:bCs/>
          <w:sz w:val="24"/>
        </w:rPr>
      </w:pPr>
      <w:bookmarkStart w:id="66" w:name="_Toc324404865"/>
      <w:bookmarkStart w:id="67" w:name="_Toc506107318"/>
      <w:bookmarkStart w:id="68" w:name="_Toc15058903"/>
      <w:bookmarkStart w:id="69" w:name="_Toc5756"/>
      <w:r>
        <w:rPr>
          <w:rFonts w:hint="eastAsia" w:ascii="宋体" w:hAnsi="宋体" w:cs="宋体"/>
          <w:b/>
          <w:bCs/>
          <w:sz w:val="24"/>
        </w:rPr>
        <w:t>资格审查办法前附表</w:t>
      </w:r>
      <w:bookmarkEnd w:id="66"/>
      <w:bookmarkEnd w:id="67"/>
      <w:bookmarkEnd w:id="68"/>
      <w:bookmarkEnd w:id="69"/>
    </w:p>
    <w:tbl>
      <w:tblPr>
        <w:tblStyle w:val="49"/>
        <w:tblW w:w="10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258"/>
        <w:gridCol w:w="6044"/>
        <w:gridCol w:w="1999"/>
      </w:tblGrid>
      <w:tr w14:paraId="6F699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2023" w:type="dxa"/>
            <w:gridSpan w:val="2"/>
            <w:noWrap w:val="0"/>
            <w:vAlign w:val="center"/>
          </w:tcPr>
          <w:p w14:paraId="127CD462">
            <w:pPr>
              <w:kinsoku/>
              <w:overflowPunct/>
              <w:bidi w:val="0"/>
              <w:adjustRightInd w:val="0"/>
              <w:snapToGrid w:val="0"/>
              <w:spacing w:line="440" w:lineRule="exact"/>
              <w:jc w:val="center"/>
              <w:rPr>
                <w:rFonts w:hint="eastAsia" w:ascii="黑体" w:hAnsi="黑体" w:eastAsia="黑体" w:cs="宋体"/>
                <w:b/>
                <w:bCs/>
                <w:color w:val="000000"/>
                <w:szCs w:val="21"/>
              </w:rPr>
            </w:pPr>
            <w:r>
              <w:rPr>
                <w:rFonts w:hint="eastAsia" w:ascii="黑体" w:hAnsi="黑体" w:eastAsia="黑体" w:cs="宋体"/>
                <w:b/>
                <w:bCs/>
                <w:color w:val="000000"/>
                <w:szCs w:val="21"/>
              </w:rPr>
              <w:t>条款号</w:t>
            </w:r>
          </w:p>
        </w:tc>
        <w:tc>
          <w:tcPr>
            <w:tcW w:w="6044" w:type="dxa"/>
            <w:noWrap w:val="0"/>
            <w:vAlign w:val="center"/>
          </w:tcPr>
          <w:p w14:paraId="54E77111">
            <w:pPr>
              <w:kinsoku/>
              <w:overflowPunct/>
              <w:bidi w:val="0"/>
              <w:adjustRightInd w:val="0"/>
              <w:snapToGrid w:val="0"/>
              <w:spacing w:line="440" w:lineRule="exact"/>
              <w:jc w:val="center"/>
              <w:rPr>
                <w:rFonts w:hint="eastAsia" w:ascii="黑体" w:hAnsi="黑体" w:eastAsia="黑体" w:cs="宋体"/>
                <w:b/>
                <w:bCs/>
                <w:color w:val="000000"/>
                <w:szCs w:val="21"/>
              </w:rPr>
            </w:pPr>
            <w:r>
              <w:rPr>
                <w:rFonts w:hint="eastAsia" w:ascii="黑体" w:hAnsi="黑体" w:eastAsia="黑体" w:cs="宋体"/>
                <w:b/>
                <w:bCs/>
                <w:color w:val="000000"/>
                <w:szCs w:val="21"/>
              </w:rPr>
              <w:t>审查内容</w:t>
            </w:r>
          </w:p>
        </w:tc>
        <w:tc>
          <w:tcPr>
            <w:tcW w:w="1999" w:type="dxa"/>
            <w:noWrap w:val="0"/>
            <w:vAlign w:val="center"/>
          </w:tcPr>
          <w:p w14:paraId="3748A24F">
            <w:pPr>
              <w:kinsoku/>
              <w:overflowPunct/>
              <w:bidi w:val="0"/>
              <w:adjustRightInd w:val="0"/>
              <w:snapToGrid w:val="0"/>
              <w:spacing w:line="440" w:lineRule="exact"/>
              <w:jc w:val="center"/>
              <w:rPr>
                <w:rFonts w:hint="eastAsia" w:ascii="黑体" w:hAnsi="黑体" w:eastAsia="黑体" w:cs="宋体"/>
                <w:b/>
                <w:bCs/>
                <w:color w:val="000000"/>
                <w:szCs w:val="21"/>
              </w:rPr>
            </w:pPr>
            <w:r>
              <w:rPr>
                <w:rFonts w:hint="eastAsia" w:ascii="黑体" w:hAnsi="黑体" w:eastAsia="黑体" w:cs="宋体"/>
                <w:b/>
                <w:bCs/>
                <w:color w:val="000000"/>
                <w:szCs w:val="21"/>
              </w:rPr>
              <w:t>评审标准</w:t>
            </w:r>
          </w:p>
        </w:tc>
      </w:tr>
      <w:tr w14:paraId="3B99F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765" w:type="dxa"/>
            <w:vMerge w:val="restart"/>
            <w:noWrap w:val="0"/>
            <w:vAlign w:val="center"/>
          </w:tcPr>
          <w:p w14:paraId="69861140">
            <w:pPr>
              <w:kinsoku/>
              <w:overflowPunct/>
              <w:bidi w:val="0"/>
              <w:adjustRightInd w:val="0"/>
              <w:snapToGrid w:val="0"/>
              <w:spacing w:line="440" w:lineRule="exact"/>
              <w:jc w:val="center"/>
              <w:rPr>
                <w:rFonts w:hint="eastAsia" w:ascii="宋体" w:hAnsi="宋体" w:cs="宋体"/>
                <w:color w:val="000000"/>
                <w:szCs w:val="21"/>
              </w:rPr>
            </w:pPr>
            <w:r>
              <w:rPr>
                <w:rFonts w:hint="eastAsia" w:ascii="宋体" w:hAnsi="宋体" w:cs="宋体"/>
                <w:color w:val="000000"/>
                <w:szCs w:val="21"/>
              </w:rPr>
              <w:t>1</w:t>
            </w:r>
          </w:p>
        </w:tc>
        <w:tc>
          <w:tcPr>
            <w:tcW w:w="1258" w:type="dxa"/>
            <w:vMerge w:val="restart"/>
            <w:noWrap w:val="0"/>
            <w:vAlign w:val="center"/>
          </w:tcPr>
          <w:p w14:paraId="3A9CEA09">
            <w:pPr>
              <w:kinsoku/>
              <w:overflowPunct/>
              <w:bidi w:val="0"/>
              <w:adjustRightInd w:val="0"/>
              <w:snapToGrid w:val="0"/>
              <w:spacing w:line="440" w:lineRule="exact"/>
              <w:jc w:val="center"/>
              <w:rPr>
                <w:rFonts w:hint="eastAsia" w:ascii="宋体" w:hAnsi="宋体" w:cs="宋体"/>
                <w:b/>
                <w:bCs/>
                <w:color w:val="000000"/>
                <w:szCs w:val="21"/>
              </w:rPr>
            </w:pPr>
            <w:r>
              <w:rPr>
                <w:rFonts w:hint="eastAsia" w:ascii="宋体" w:hAnsi="宋体" w:cs="宋体"/>
                <w:b/>
                <w:bCs/>
                <w:color w:val="000000"/>
                <w:szCs w:val="21"/>
              </w:rPr>
              <w:t>审查资料</w:t>
            </w:r>
          </w:p>
        </w:tc>
        <w:tc>
          <w:tcPr>
            <w:tcW w:w="6044" w:type="dxa"/>
            <w:noWrap w:val="0"/>
            <w:vAlign w:val="top"/>
          </w:tcPr>
          <w:p w14:paraId="033A4E74">
            <w:pPr>
              <w:kinsoku/>
              <w:overflowPunct/>
              <w:bidi w:val="0"/>
              <w:adjustRightInd w:val="0"/>
              <w:snapToGrid w:val="0"/>
              <w:spacing w:line="440" w:lineRule="exact"/>
              <w:rPr>
                <w:rFonts w:hint="eastAsia" w:ascii="宋体" w:hAnsi="宋体" w:cs="宋体"/>
                <w:color w:val="000000"/>
                <w:szCs w:val="21"/>
              </w:rPr>
            </w:pPr>
            <w:r>
              <w:rPr>
                <w:rFonts w:hint="eastAsia" w:ascii="宋体" w:hAnsi="宋体" w:cs="宋体"/>
                <w:color w:val="000000"/>
                <w:szCs w:val="21"/>
              </w:rPr>
              <w:t>法定代表人身份证明和本人有效身份证(或法定代表人授权委托书和委托代理人有效身份证)</w:t>
            </w:r>
          </w:p>
        </w:tc>
        <w:tc>
          <w:tcPr>
            <w:tcW w:w="1999" w:type="dxa"/>
            <w:vMerge w:val="restart"/>
            <w:noWrap w:val="0"/>
            <w:vAlign w:val="center"/>
          </w:tcPr>
          <w:p w14:paraId="4E24A1D6">
            <w:pPr>
              <w:kinsoku/>
              <w:overflowPunct/>
              <w:bidi w:val="0"/>
              <w:adjustRightInd w:val="0"/>
              <w:snapToGrid w:val="0"/>
              <w:spacing w:line="440" w:lineRule="exact"/>
              <w:jc w:val="center"/>
              <w:rPr>
                <w:rFonts w:hint="eastAsia" w:ascii="宋体" w:hAnsi="宋体" w:cs="宋体"/>
                <w:b/>
                <w:color w:val="000000"/>
                <w:szCs w:val="21"/>
              </w:rPr>
            </w:pPr>
            <w:r>
              <w:rPr>
                <w:rFonts w:hint="eastAsia" w:ascii="宋体" w:hAnsi="宋体" w:cs="宋体"/>
                <w:b/>
                <w:color w:val="000000"/>
                <w:szCs w:val="21"/>
              </w:rPr>
              <w:t>检验电子标书</w:t>
            </w:r>
          </w:p>
        </w:tc>
      </w:tr>
      <w:tr w14:paraId="2EB74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765" w:type="dxa"/>
            <w:vMerge w:val="continue"/>
            <w:noWrap w:val="0"/>
            <w:vAlign w:val="center"/>
          </w:tcPr>
          <w:p w14:paraId="34FF06B1">
            <w:pPr>
              <w:kinsoku/>
              <w:overflowPunct/>
              <w:bidi w:val="0"/>
              <w:adjustRightInd w:val="0"/>
              <w:snapToGrid w:val="0"/>
              <w:spacing w:line="440" w:lineRule="exact"/>
              <w:jc w:val="center"/>
              <w:rPr>
                <w:rFonts w:hint="eastAsia" w:ascii="宋体" w:hAnsi="宋体" w:cs="宋体"/>
                <w:color w:val="000000"/>
                <w:szCs w:val="21"/>
              </w:rPr>
            </w:pPr>
          </w:p>
        </w:tc>
        <w:tc>
          <w:tcPr>
            <w:tcW w:w="1258" w:type="dxa"/>
            <w:vMerge w:val="continue"/>
            <w:noWrap w:val="0"/>
            <w:vAlign w:val="center"/>
          </w:tcPr>
          <w:p w14:paraId="37CD1C64">
            <w:pPr>
              <w:kinsoku/>
              <w:overflowPunct/>
              <w:bidi w:val="0"/>
              <w:adjustRightInd w:val="0"/>
              <w:snapToGrid w:val="0"/>
              <w:spacing w:line="440" w:lineRule="exact"/>
              <w:jc w:val="center"/>
              <w:rPr>
                <w:rFonts w:hint="eastAsia" w:ascii="宋体" w:hAnsi="宋体" w:cs="宋体"/>
                <w:b/>
                <w:bCs/>
                <w:color w:val="000000"/>
                <w:szCs w:val="21"/>
              </w:rPr>
            </w:pPr>
          </w:p>
        </w:tc>
        <w:tc>
          <w:tcPr>
            <w:tcW w:w="6044" w:type="dxa"/>
            <w:noWrap w:val="0"/>
            <w:vAlign w:val="top"/>
          </w:tcPr>
          <w:p w14:paraId="494636D3">
            <w:pPr>
              <w:kinsoku/>
              <w:overflowPunct/>
              <w:bidi w:val="0"/>
              <w:adjustRightInd w:val="0"/>
              <w:snapToGrid w:val="0"/>
              <w:spacing w:line="440" w:lineRule="exact"/>
              <w:rPr>
                <w:rFonts w:hint="eastAsia" w:ascii="宋体" w:hAnsi="宋体" w:cs="宋体"/>
                <w:color w:val="000000"/>
                <w:szCs w:val="21"/>
              </w:rPr>
            </w:pPr>
            <w:r>
              <w:rPr>
                <w:rFonts w:hint="eastAsia" w:ascii="宋体" w:hAnsi="宋体" w:cs="宋体"/>
                <w:color w:val="000000"/>
                <w:szCs w:val="21"/>
              </w:rPr>
              <w:t>诚信投标承诺书</w:t>
            </w:r>
          </w:p>
        </w:tc>
        <w:tc>
          <w:tcPr>
            <w:tcW w:w="1999" w:type="dxa"/>
            <w:vMerge w:val="continue"/>
            <w:noWrap w:val="0"/>
            <w:vAlign w:val="center"/>
          </w:tcPr>
          <w:p w14:paraId="252616D3">
            <w:pPr>
              <w:kinsoku/>
              <w:overflowPunct/>
              <w:bidi w:val="0"/>
              <w:adjustRightInd w:val="0"/>
              <w:snapToGrid w:val="0"/>
              <w:spacing w:line="440" w:lineRule="exact"/>
              <w:jc w:val="center"/>
              <w:rPr>
                <w:rFonts w:hint="eastAsia" w:ascii="宋体" w:hAnsi="宋体" w:cs="宋体"/>
                <w:b/>
                <w:color w:val="000000"/>
                <w:szCs w:val="21"/>
              </w:rPr>
            </w:pPr>
          </w:p>
        </w:tc>
      </w:tr>
      <w:tr w14:paraId="7E93E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765" w:type="dxa"/>
            <w:vMerge w:val="continue"/>
            <w:noWrap w:val="0"/>
            <w:vAlign w:val="center"/>
          </w:tcPr>
          <w:p w14:paraId="5731E42C">
            <w:pPr>
              <w:kinsoku/>
              <w:overflowPunct/>
              <w:bidi w:val="0"/>
              <w:adjustRightInd w:val="0"/>
              <w:snapToGrid w:val="0"/>
              <w:spacing w:line="440" w:lineRule="exact"/>
              <w:jc w:val="center"/>
              <w:rPr>
                <w:rFonts w:hint="eastAsia" w:ascii="宋体" w:hAnsi="宋体" w:cs="宋体"/>
                <w:color w:val="000000"/>
                <w:szCs w:val="21"/>
              </w:rPr>
            </w:pPr>
          </w:p>
        </w:tc>
        <w:tc>
          <w:tcPr>
            <w:tcW w:w="1258" w:type="dxa"/>
            <w:vMerge w:val="continue"/>
            <w:noWrap w:val="0"/>
            <w:vAlign w:val="center"/>
          </w:tcPr>
          <w:p w14:paraId="3571B978">
            <w:pPr>
              <w:kinsoku/>
              <w:overflowPunct/>
              <w:bidi w:val="0"/>
              <w:adjustRightInd w:val="0"/>
              <w:snapToGrid w:val="0"/>
              <w:spacing w:line="440" w:lineRule="exact"/>
              <w:jc w:val="center"/>
              <w:rPr>
                <w:rFonts w:hint="eastAsia" w:ascii="宋体" w:hAnsi="宋体" w:cs="宋体"/>
                <w:b/>
                <w:bCs/>
                <w:color w:val="000000"/>
                <w:szCs w:val="21"/>
              </w:rPr>
            </w:pPr>
          </w:p>
        </w:tc>
        <w:tc>
          <w:tcPr>
            <w:tcW w:w="6044" w:type="dxa"/>
            <w:noWrap w:val="0"/>
            <w:vAlign w:val="top"/>
          </w:tcPr>
          <w:p w14:paraId="0F9208E5">
            <w:pPr>
              <w:kinsoku/>
              <w:overflowPunct/>
              <w:bidi w:val="0"/>
              <w:adjustRightInd w:val="0"/>
              <w:snapToGrid w:val="0"/>
              <w:spacing w:line="440" w:lineRule="exact"/>
              <w:rPr>
                <w:rFonts w:hint="eastAsia" w:ascii="宋体" w:hAnsi="宋体" w:cs="宋体"/>
                <w:color w:val="000000"/>
                <w:szCs w:val="21"/>
              </w:rPr>
            </w:pPr>
            <w:r>
              <w:rPr>
                <w:rFonts w:hint="eastAsia" w:ascii="宋体" w:hAnsi="宋体" w:cs="宋体"/>
                <w:color w:val="000000"/>
                <w:szCs w:val="21"/>
              </w:rPr>
              <w:t>企业法人营业执照</w:t>
            </w:r>
          </w:p>
        </w:tc>
        <w:tc>
          <w:tcPr>
            <w:tcW w:w="1999" w:type="dxa"/>
            <w:vMerge w:val="continue"/>
            <w:noWrap w:val="0"/>
            <w:vAlign w:val="center"/>
          </w:tcPr>
          <w:p w14:paraId="2C22F879">
            <w:pPr>
              <w:kinsoku/>
              <w:overflowPunct/>
              <w:bidi w:val="0"/>
              <w:adjustRightInd w:val="0"/>
              <w:snapToGrid w:val="0"/>
              <w:spacing w:line="440" w:lineRule="exact"/>
              <w:jc w:val="center"/>
              <w:rPr>
                <w:rFonts w:hint="eastAsia" w:ascii="宋体" w:hAnsi="宋体" w:cs="宋体"/>
                <w:b/>
                <w:color w:val="000000"/>
                <w:szCs w:val="21"/>
              </w:rPr>
            </w:pPr>
          </w:p>
        </w:tc>
      </w:tr>
      <w:tr w14:paraId="0305C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65" w:type="dxa"/>
            <w:vMerge w:val="continue"/>
            <w:noWrap w:val="0"/>
            <w:vAlign w:val="center"/>
          </w:tcPr>
          <w:p w14:paraId="1AA11173">
            <w:pPr>
              <w:kinsoku/>
              <w:overflowPunct/>
              <w:bidi w:val="0"/>
              <w:adjustRightInd w:val="0"/>
              <w:snapToGrid w:val="0"/>
              <w:spacing w:line="440" w:lineRule="exact"/>
              <w:jc w:val="center"/>
              <w:rPr>
                <w:rFonts w:hint="eastAsia" w:ascii="宋体" w:hAnsi="宋体" w:cs="宋体"/>
                <w:color w:val="000000"/>
                <w:szCs w:val="21"/>
              </w:rPr>
            </w:pPr>
          </w:p>
        </w:tc>
        <w:tc>
          <w:tcPr>
            <w:tcW w:w="1258" w:type="dxa"/>
            <w:vMerge w:val="continue"/>
            <w:noWrap w:val="0"/>
            <w:vAlign w:val="center"/>
          </w:tcPr>
          <w:p w14:paraId="361F3685">
            <w:pPr>
              <w:kinsoku/>
              <w:overflowPunct/>
              <w:bidi w:val="0"/>
              <w:adjustRightInd w:val="0"/>
              <w:snapToGrid w:val="0"/>
              <w:spacing w:line="440" w:lineRule="exact"/>
              <w:jc w:val="center"/>
              <w:rPr>
                <w:rFonts w:hint="eastAsia" w:ascii="宋体" w:hAnsi="宋体" w:cs="宋体"/>
                <w:b/>
                <w:bCs/>
                <w:color w:val="000000"/>
                <w:szCs w:val="21"/>
              </w:rPr>
            </w:pPr>
          </w:p>
        </w:tc>
        <w:tc>
          <w:tcPr>
            <w:tcW w:w="6044" w:type="dxa"/>
            <w:noWrap w:val="0"/>
            <w:vAlign w:val="top"/>
          </w:tcPr>
          <w:p w14:paraId="54A96DC2">
            <w:pPr>
              <w:kinsoku/>
              <w:overflowPunct/>
              <w:bidi w:val="0"/>
              <w:adjustRightInd w:val="0"/>
              <w:snapToGrid w:val="0"/>
              <w:spacing w:line="440" w:lineRule="exact"/>
              <w:rPr>
                <w:rFonts w:hint="eastAsia" w:ascii="宋体" w:hAnsi="宋体" w:cs="宋体"/>
                <w:color w:val="000000"/>
                <w:szCs w:val="21"/>
              </w:rPr>
            </w:pPr>
            <w:r>
              <w:rPr>
                <w:rFonts w:hint="eastAsia" w:ascii="宋体" w:hAnsi="宋体" w:cs="宋体"/>
                <w:color w:val="000000"/>
                <w:szCs w:val="21"/>
              </w:rPr>
              <w:t>企业资质证书</w:t>
            </w:r>
          </w:p>
        </w:tc>
        <w:tc>
          <w:tcPr>
            <w:tcW w:w="1999" w:type="dxa"/>
            <w:vMerge w:val="continue"/>
            <w:noWrap w:val="0"/>
            <w:vAlign w:val="center"/>
          </w:tcPr>
          <w:p w14:paraId="12B654C5">
            <w:pPr>
              <w:kinsoku/>
              <w:overflowPunct/>
              <w:bidi w:val="0"/>
              <w:adjustRightInd w:val="0"/>
              <w:snapToGrid w:val="0"/>
              <w:spacing w:line="440" w:lineRule="exact"/>
              <w:jc w:val="center"/>
              <w:rPr>
                <w:rFonts w:hint="eastAsia" w:ascii="宋体" w:hAnsi="宋体" w:cs="宋体"/>
                <w:color w:val="000000"/>
                <w:szCs w:val="21"/>
              </w:rPr>
            </w:pPr>
          </w:p>
        </w:tc>
      </w:tr>
      <w:tr w14:paraId="0ADD9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765" w:type="dxa"/>
            <w:vMerge w:val="continue"/>
            <w:noWrap w:val="0"/>
            <w:vAlign w:val="center"/>
          </w:tcPr>
          <w:p w14:paraId="169BE8B8">
            <w:pPr>
              <w:kinsoku/>
              <w:overflowPunct/>
              <w:bidi w:val="0"/>
              <w:adjustRightInd w:val="0"/>
              <w:snapToGrid w:val="0"/>
              <w:spacing w:line="440" w:lineRule="exact"/>
              <w:jc w:val="center"/>
              <w:rPr>
                <w:rFonts w:hint="eastAsia" w:ascii="宋体" w:hAnsi="宋体" w:cs="宋体"/>
                <w:color w:val="000000"/>
                <w:szCs w:val="21"/>
              </w:rPr>
            </w:pPr>
          </w:p>
        </w:tc>
        <w:tc>
          <w:tcPr>
            <w:tcW w:w="1258" w:type="dxa"/>
            <w:vMerge w:val="continue"/>
            <w:noWrap w:val="0"/>
            <w:vAlign w:val="center"/>
          </w:tcPr>
          <w:p w14:paraId="54980AE0">
            <w:pPr>
              <w:kinsoku/>
              <w:overflowPunct/>
              <w:bidi w:val="0"/>
              <w:adjustRightInd w:val="0"/>
              <w:snapToGrid w:val="0"/>
              <w:spacing w:line="440" w:lineRule="exact"/>
              <w:jc w:val="center"/>
              <w:rPr>
                <w:rFonts w:hint="eastAsia" w:ascii="宋体" w:hAnsi="宋体" w:cs="宋体"/>
                <w:b/>
                <w:bCs/>
                <w:color w:val="000000"/>
                <w:szCs w:val="21"/>
              </w:rPr>
            </w:pPr>
          </w:p>
        </w:tc>
        <w:tc>
          <w:tcPr>
            <w:tcW w:w="6044" w:type="dxa"/>
            <w:noWrap w:val="0"/>
            <w:vAlign w:val="top"/>
          </w:tcPr>
          <w:p w14:paraId="5BFA5764">
            <w:pPr>
              <w:kinsoku/>
              <w:overflowPunct/>
              <w:bidi w:val="0"/>
              <w:adjustRightInd w:val="0"/>
              <w:snapToGrid w:val="0"/>
              <w:spacing w:line="440" w:lineRule="exact"/>
              <w:rPr>
                <w:rFonts w:hint="eastAsia" w:ascii="宋体" w:hAnsi="宋体" w:cs="宋体"/>
                <w:color w:val="000000"/>
                <w:szCs w:val="21"/>
              </w:rPr>
            </w:pPr>
            <w:r>
              <w:rPr>
                <w:rFonts w:hint="eastAsia" w:ascii="宋体" w:hAnsi="宋体" w:cs="宋体"/>
                <w:color w:val="000000"/>
                <w:szCs w:val="21"/>
              </w:rPr>
              <w:t>企业安全生产许可证</w:t>
            </w:r>
          </w:p>
        </w:tc>
        <w:tc>
          <w:tcPr>
            <w:tcW w:w="1999" w:type="dxa"/>
            <w:vMerge w:val="continue"/>
            <w:noWrap w:val="0"/>
            <w:vAlign w:val="center"/>
          </w:tcPr>
          <w:p w14:paraId="5184BD66">
            <w:pPr>
              <w:kinsoku/>
              <w:overflowPunct/>
              <w:bidi w:val="0"/>
              <w:adjustRightInd w:val="0"/>
              <w:snapToGrid w:val="0"/>
              <w:spacing w:line="440" w:lineRule="exact"/>
              <w:jc w:val="center"/>
              <w:rPr>
                <w:rFonts w:hint="eastAsia" w:ascii="宋体" w:hAnsi="宋体" w:cs="宋体"/>
                <w:color w:val="000000"/>
                <w:szCs w:val="21"/>
              </w:rPr>
            </w:pPr>
          </w:p>
        </w:tc>
      </w:tr>
      <w:tr w14:paraId="5FFE3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65" w:type="dxa"/>
            <w:vMerge w:val="continue"/>
            <w:noWrap w:val="0"/>
            <w:vAlign w:val="center"/>
          </w:tcPr>
          <w:p w14:paraId="7BF4A934">
            <w:pPr>
              <w:kinsoku/>
              <w:overflowPunct/>
              <w:bidi w:val="0"/>
              <w:adjustRightInd w:val="0"/>
              <w:snapToGrid w:val="0"/>
              <w:spacing w:line="440" w:lineRule="exact"/>
              <w:jc w:val="center"/>
              <w:rPr>
                <w:rFonts w:hint="eastAsia" w:ascii="宋体" w:hAnsi="宋体" w:cs="宋体"/>
                <w:color w:val="000000"/>
                <w:szCs w:val="21"/>
              </w:rPr>
            </w:pPr>
          </w:p>
        </w:tc>
        <w:tc>
          <w:tcPr>
            <w:tcW w:w="1258" w:type="dxa"/>
            <w:vMerge w:val="continue"/>
            <w:noWrap w:val="0"/>
            <w:vAlign w:val="center"/>
          </w:tcPr>
          <w:p w14:paraId="7E885BCA">
            <w:pPr>
              <w:kinsoku/>
              <w:overflowPunct/>
              <w:bidi w:val="0"/>
              <w:adjustRightInd w:val="0"/>
              <w:snapToGrid w:val="0"/>
              <w:spacing w:line="440" w:lineRule="exact"/>
              <w:jc w:val="center"/>
              <w:rPr>
                <w:rFonts w:hint="eastAsia" w:ascii="宋体" w:hAnsi="宋体" w:cs="宋体"/>
                <w:b/>
                <w:bCs/>
                <w:color w:val="000000"/>
                <w:szCs w:val="21"/>
              </w:rPr>
            </w:pPr>
          </w:p>
        </w:tc>
        <w:tc>
          <w:tcPr>
            <w:tcW w:w="6044" w:type="dxa"/>
            <w:noWrap w:val="0"/>
            <w:vAlign w:val="top"/>
          </w:tcPr>
          <w:p w14:paraId="4982BF3E">
            <w:pPr>
              <w:kinsoku/>
              <w:overflowPunct/>
              <w:bidi w:val="0"/>
              <w:adjustRightInd w:val="0"/>
              <w:snapToGrid w:val="0"/>
              <w:spacing w:line="440" w:lineRule="exact"/>
              <w:rPr>
                <w:rFonts w:hint="eastAsia" w:ascii="宋体" w:hAnsi="宋体" w:cs="宋体"/>
                <w:color w:val="000000"/>
                <w:szCs w:val="21"/>
              </w:rPr>
            </w:pPr>
            <w:r>
              <w:rPr>
                <w:rFonts w:hint="eastAsia" w:ascii="宋体" w:hAnsi="宋体" w:cs="宋体"/>
                <w:color w:val="000000"/>
                <w:szCs w:val="21"/>
              </w:rPr>
              <w:t>项目经理（建造师）有效身份证、注册证书以及安全生产考核合格证书（B证）</w:t>
            </w:r>
          </w:p>
        </w:tc>
        <w:tc>
          <w:tcPr>
            <w:tcW w:w="1999" w:type="dxa"/>
            <w:vMerge w:val="continue"/>
            <w:noWrap w:val="0"/>
            <w:vAlign w:val="center"/>
          </w:tcPr>
          <w:p w14:paraId="071EDA9B">
            <w:pPr>
              <w:kinsoku/>
              <w:overflowPunct/>
              <w:bidi w:val="0"/>
              <w:adjustRightInd w:val="0"/>
              <w:snapToGrid w:val="0"/>
              <w:spacing w:line="440" w:lineRule="exact"/>
              <w:jc w:val="center"/>
              <w:rPr>
                <w:rFonts w:hint="eastAsia" w:ascii="宋体" w:hAnsi="宋体" w:cs="宋体"/>
                <w:color w:val="000000"/>
                <w:szCs w:val="21"/>
              </w:rPr>
            </w:pPr>
          </w:p>
        </w:tc>
      </w:tr>
      <w:tr w14:paraId="1A92D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65" w:type="dxa"/>
            <w:vMerge w:val="continue"/>
            <w:noWrap w:val="0"/>
            <w:vAlign w:val="center"/>
          </w:tcPr>
          <w:p w14:paraId="4E840A1C">
            <w:pPr>
              <w:kinsoku/>
              <w:overflowPunct/>
              <w:bidi w:val="0"/>
              <w:adjustRightInd w:val="0"/>
              <w:snapToGrid w:val="0"/>
              <w:spacing w:line="440" w:lineRule="exact"/>
              <w:jc w:val="center"/>
              <w:rPr>
                <w:rFonts w:hint="eastAsia" w:ascii="宋体" w:hAnsi="宋体" w:cs="宋体"/>
                <w:color w:val="000000"/>
                <w:szCs w:val="21"/>
              </w:rPr>
            </w:pPr>
          </w:p>
        </w:tc>
        <w:tc>
          <w:tcPr>
            <w:tcW w:w="1258" w:type="dxa"/>
            <w:vMerge w:val="continue"/>
            <w:noWrap w:val="0"/>
            <w:vAlign w:val="center"/>
          </w:tcPr>
          <w:p w14:paraId="661D0EEE">
            <w:pPr>
              <w:kinsoku/>
              <w:overflowPunct/>
              <w:bidi w:val="0"/>
              <w:adjustRightInd w:val="0"/>
              <w:snapToGrid w:val="0"/>
              <w:spacing w:line="440" w:lineRule="exact"/>
              <w:jc w:val="center"/>
              <w:rPr>
                <w:rFonts w:hint="eastAsia" w:ascii="宋体" w:hAnsi="宋体" w:cs="宋体"/>
                <w:b/>
                <w:bCs/>
                <w:color w:val="000000"/>
                <w:szCs w:val="21"/>
              </w:rPr>
            </w:pPr>
          </w:p>
        </w:tc>
        <w:tc>
          <w:tcPr>
            <w:tcW w:w="6044" w:type="dxa"/>
            <w:noWrap w:val="0"/>
            <w:vAlign w:val="top"/>
          </w:tcPr>
          <w:p w14:paraId="225C575F">
            <w:pPr>
              <w:kinsoku/>
              <w:overflowPunct/>
              <w:bidi w:val="0"/>
              <w:adjustRightInd w:val="0"/>
              <w:snapToGrid w:val="0"/>
              <w:spacing w:line="440" w:lineRule="exact"/>
              <w:rPr>
                <w:rFonts w:hint="eastAsia" w:ascii="宋体" w:hAnsi="宋体" w:cs="宋体"/>
                <w:color w:val="000000"/>
                <w:szCs w:val="21"/>
              </w:rPr>
            </w:pPr>
            <w:r>
              <w:rPr>
                <w:rFonts w:hint="eastAsia" w:ascii="宋体" w:hAnsi="宋体" w:cs="宋体"/>
                <w:color w:val="000000"/>
                <w:szCs w:val="21"/>
              </w:rPr>
              <w:t>投标人的法定代表人(或委托代理人)和拟任项目经理（建造师）须持有社保部门出具的本单位为其缴纳的投标前近三个月连续的养老保险证明（证明文件两个月内有效）（同一人担任不同公司法定代表人的，该法定代表人参加本项目投标时须提供本人在其他公司任法定代表人的营业执照及为其缴纳养老保险证明材料），投标人是事业单位的，暂未缴纳养老保险的，须由其主管部门出具证明</w:t>
            </w:r>
          </w:p>
        </w:tc>
        <w:tc>
          <w:tcPr>
            <w:tcW w:w="1999" w:type="dxa"/>
            <w:vMerge w:val="continue"/>
            <w:noWrap w:val="0"/>
            <w:vAlign w:val="center"/>
          </w:tcPr>
          <w:p w14:paraId="3FE9C77B">
            <w:pPr>
              <w:kinsoku/>
              <w:overflowPunct/>
              <w:bidi w:val="0"/>
              <w:adjustRightInd w:val="0"/>
              <w:snapToGrid w:val="0"/>
              <w:spacing w:line="440" w:lineRule="exact"/>
              <w:jc w:val="center"/>
              <w:rPr>
                <w:rFonts w:hint="eastAsia" w:ascii="宋体" w:hAnsi="宋体" w:cs="宋体"/>
                <w:color w:val="000000"/>
                <w:szCs w:val="21"/>
              </w:rPr>
            </w:pPr>
          </w:p>
        </w:tc>
      </w:tr>
    </w:tbl>
    <w:p w14:paraId="664200DF">
      <w:pPr>
        <w:kinsoku/>
        <w:overflowPunct/>
        <w:bidi w:val="0"/>
        <w:adjustRightInd w:val="0"/>
        <w:snapToGrid w:val="0"/>
        <w:spacing w:line="440" w:lineRule="exact"/>
        <w:ind w:firstLine="422" w:firstLineChars="200"/>
        <w:jc w:val="left"/>
        <w:rPr>
          <w:rFonts w:hint="eastAsia" w:ascii="黑体" w:hAnsi="黑体" w:eastAsia="黑体" w:cs="黑体"/>
          <w:b/>
          <w:bCs/>
          <w:color w:val="000000"/>
          <w:szCs w:val="21"/>
        </w:rPr>
      </w:pPr>
      <w:r>
        <w:rPr>
          <w:rFonts w:hint="eastAsia" w:ascii="黑体" w:hAnsi="黑体" w:eastAsia="黑体" w:cs="黑体"/>
          <w:b/>
          <w:bCs/>
          <w:color w:val="000000"/>
          <w:szCs w:val="21"/>
        </w:rPr>
        <w:t>重要提示：</w:t>
      </w:r>
    </w:p>
    <w:p w14:paraId="12814EDA">
      <w:pPr>
        <w:kinsoku/>
        <w:overflowPunct/>
        <w:bidi w:val="0"/>
        <w:adjustRightInd w:val="0"/>
        <w:snapToGrid w:val="0"/>
        <w:spacing w:line="440" w:lineRule="exact"/>
        <w:ind w:firstLine="422" w:firstLineChars="200"/>
        <w:jc w:val="left"/>
        <w:rPr>
          <w:rFonts w:hint="eastAsia" w:ascii="黑体" w:hAnsi="黑体" w:eastAsia="黑体" w:cs="黑体"/>
          <w:b/>
          <w:bCs/>
          <w:color w:val="000000"/>
          <w:szCs w:val="21"/>
        </w:rPr>
      </w:pPr>
      <w:r>
        <w:rPr>
          <w:rFonts w:hint="eastAsia" w:ascii="黑体" w:hAnsi="黑体" w:eastAsia="黑体" w:cs="黑体"/>
          <w:b/>
          <w:bCs/>
          <w:color w:val="000000"/>
          <w:szCs w:val="21"/>
        </w:rPr>
        <w:t>（1）资格审查材料可以按招标文件要求上传至指定位置。</w:t>
      </w:r>
    </w:p>
    <w:p w14:paraId="248990F1">
      <w:pPr>
        <w:kinsoku/>
        <w:overflowPunct/>
        <w:bidi w:val="0"/>
        <w:adjustRightInd w:val="0"/>
        <w:snapToGrid w:val="0"/>
        <w:spacing w:line="440" w:lineRule="exact"/>
        <w:ind w:firstLine="422" w:firstLineChars="200"/>
        <w:jc w:val="left"/>
        <w:rPr>
          <w:rFonts w:hint="eastAsia" w:ascii="黑体" w:hAnsi="黑体" w:eastAsia="黑体" w:cs="黑体"/>
          <w:b/>
          <w:bCs/>
          <w:color w:val="000000"/>
          <w:szCs w:val="21"/>
        </w:rPr>
      </w:pPr>
      <w:r>
        <w:rPr>
          <w:rFonts w:hint="eastAsia" w:ascii="黑体" w:hAnsi="黑体" w:eastAsia="黑体" w:cs="黑体"/>
          <w:b/>
          <w:bCs/>
          <w:color w:val="000000"/>
          <w:szCs w:val="21"/>
        </w:rPr>
        <w:t>（2）评标专家在检验电子投标文件过程中，如果由于投标人自身原因导致评标专家无法查看并检验电子投标文件中相关资料的，视为无效标处理。即使投标人将原件携带至现场的，同样按无效标处理。</w:t>
      </w:r>
    </w:p>
    <w:p w14:paraId="014C981C">
      <w:pPr>
        <w:kinsoku/>
        <w:overflowPunct/>
        <w:bidi w:val="0"/>
        <w:spacing w:line="440" w:lineRule="exact"/>
        <w:ind w:firstLine="422" w:firstLineChars="200"/>
        <w:rPr>
          <w:rFonts w:hint="eastAsia" w:ascii="黑体" w:hAnsi="黑体" w:eastAsia="黑体" w:cs="黑体"/>
          <w:b/>
          <w:bCs/>
          <w:color w:val="000000"/>
          <w:szCs w:val="21"/>
        </w:rPr>
      </w:pPr>
      <w:r>
        <w:rPr>
          <w:rFonts w:hint="eastAsia" w:ascii="黑体" w:hAnsi="黑体" w:eastAsia="黑体" w:cs="黑体"/>
          <w:b/>
          <w:bCs/>
          <w:color w:val="000000"/>
          <w:szCs w:val="21"/>
        </w:rPr>
        <w:t>（3）投标人拟委任项目经理为注册建造师（含一级、二级）的，须提供在电子证书使用有效期内的纸质版电子证书。</w:t>
      </w:r>
      <w:r>
        <w:rPr>
          <w:rFonts w:ascii="黑体" w:hAnsi="黑体" w:eastAsia="黑体" w:cs="黑体"/>
          <w:b/>
          <w:bCs/>
          <w:color w:val="000000"/>
          <w:szCs w:val="21"/>
        </w:rPr>
        <w:t>一级建造师打印电子证书后，应在个人签名处手写本人签名，未手写签名或与签名图像笔迹不一致的，该电子证书无效。</w:t>
      </w:r>
    </w:p>
    <w:p w14:paraId="7A299175">
      <w:pPr>
        <w:kinsoku/>
        <w:overflowPunct/>
        <w:bidi w:val="0"/>
        <w:spacing w:line="440" w:lineRule="exact"/>
        <w:ind w:firstLine="422" w:firstLineChars="200"/>
        <w:jc w:val="left"/>
        <w:rPr>
          <w:rFonts w:hint="eastAsia" w:ascii="黑体" w:hAnsi="黑体" w:eastAsia="黑体" w:cs="黑体"/>
          <w:b/>
          <w:bCs/>
          <w:color w:val="000000"/>
          <w:szCs w:val="21"/>
        </w:rPr>
      </w:pPr>
      <w:r>
        <w:rPr>
          <w:rFonts w:hint="eastAsia" w:ascii="黑体" w:hAnsi="黑体" w:eastAsia="黑体" w:cs="黑体"/>
          <w:b/>
          <w:bCs/>
          <w:color w:val="000000"/>
          <w:szCs w:val="21"/>
        </w:rPr>
        <w:t>投标人提供的安徽省新版二级建造师电子注册证书纸质版需在安徽省住房和城乡建设执业资格注册管理系统中打印，打印后应由二级建造师本人在证书的个人签名处手写本人签名，或在新版二级建造师电子注册证书纸质版后附其本人知情承诺（视为个人签名处的手写本人签名），格式自拟。未手写个人签名或未提供二级建造师本人知情承诺的，个人签名或知情承诺签字与签名图片笔迹不一致，此证书无效。其他省份按各省相关规定执行。</w:t>
      </w:r>
    </w:p>
    <w:p w14:paraId="4C8BBCF3">
      <w:pPr>
        <w:pStyle w:val="4"/>
        <w:kinsoku/>
        <w:overflowPunct/>
        <w:bidi w:val="0"/>
        <w:adjustRightInd w:val="0"/>
        <w:snapToGrid w:val="0"/>
        <w:spacing w:before="0" w:after="0" w:line="440" w:lineRule="exact"/>
        <w:ind w:firstLine="422" w:firstLineChars="200"/>
        <w:rPr>
          <w:rFonts w:hint="eastAsia" w:ascii="黑体" w:hAnsi="黑体" w:cs="黑体"/>
          <w:color w:val="000000"/>
          <w:sz w:val="21"/>
          <w:szCs w:val="21"/>
        </w:rPr>
      </w:pPr>
      <w:bookmarkStart w:id="70" w:name="_Toc6447"/>
      <w:bookmarkStart w:id="71" w:name="_Toc6839"/>
      <w:r>
        <w:rPr>
          <w:rFonts w:hint="eastAsia" w:ascii="黑体" w:hAnsi="黑体" w:cs="黑体"/>
          <w:color w:val="000000"/>
          <w:sz w:val="21"/>
          <w:szCs w:val="21"/>
        </w:rPr>
        <w:t>1.审查资料</w:t>
      </w:r>
      <w:bookmarkEnd w:id="70"/>
      <w:bookmarkEnd w:id="71"/>
    </w:p>
    <w:p w14:paraId="3979CCF3">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（1）法定代表人身份证明和本人有效身份证(或法定代表人授权委托书和委托代理人有效身份证)；</w:t>
      </w:r>
    </w:p>
    <w:p w14:paraId="533EECFA">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（2）诚信投标承诺书；</w:t>
      </w:r>
    </w:p>
    <w:p w14:paraId="63B8D563">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（3）企业法人营业执照；</w:t>
      </w:r>
    </w:p>
    <w:p w14:paraId="187E1643">
      <w:pPr>
        <w:kinsoku/>
        <w:overflowPunct/>
        <w:bidi w:val="0"/>
        <w:adjustRightInd w:val="0"/>
        <w:snapToGrid w:val="0"/>
        <w:spacing w:line="440" w:lineRule="exact"/>
        <w:ind w:firstLine="420" w:firstLineChars="200"/>
        <w:rPr>
          <w:rFonts w:hint="eastAsia"/>
        </w:rPr>
      </w:pPr>
      <w:r>
        <w:rPr>
          <w:rFonts w:hint="eastAsia" w:ascii="宋体" w:hAnsi="宋体" w:cs="宋体"/>
          <w:color w:val="000000"/>
          <w:szCs w:val="21"/>
        </w:rPr>
        <w:t>（4）企业资质证书；</w:t>
      </w:r>
    </w:p>
    <w:p w14:paraId="083BAC7F">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（5）企业安全生产许可证；</w:t>
      </w:r>
    </w:p>
    <w:p w14:paraId="4B518529">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（6）项目经理（建造师）有效身份证、注册证书以及安全生产考核合格证书（B证）；</w:t>
      </w:r>
    </w:p>
    <w:p w14:paraId="64555CDD">
      <w:pPr>
        <w:widowControl/>
        <w:kinsoku/>
        <w:overflowPunct/>
        <w:bidi w:val="0"/>
        <w:adjustRightInd w:val="0"/>
        <w:snapToGrid w:val="0"/>
        <w:spacing w:line="440" w:lineRule="exact"/>
        <w:ind w:firstLine="420" w:firstLineChars="200"/>
        <w:jc w:val="left"/>
        <w:rPr>
          <w:rFonts w:hint="eastAsia" w:ascii="宋体" w:hAnsi="宋体" w:cs="宋体"/>
          <w:color w:val="000000"/>
          <w:szCs w:val="21"/>
        </w:rPr>
      </w:pPr>
      <w:r>
        <w:rPr>
          <w:rFonts w:hint="eastAsia" w:ascii="宋体" w:hAnsi="宋体" w:cs="宋体"/>
          <w:color w:val="000000"/>
          <w:szCs w:val="21"/>
        </w:rPr>
        <w:t>（7）投标人的法定代表人(或委托代理人)和项目经理（建造师）须持有社保部门出具的本单位为其缴纳的投标前近三个月连续的养老保险证明（证明文件两个月内有效）（同一人担任不同公司法定代表人的，该法定代表人参加本项目投标时须提供本人在其他公司任法定代表人的营业执照及为其缴纳养老保险证明材料），投标人是事业单位的，暂未缴纳养老保险的，须由其主管部门出具证明；</w:t>
      </w:r>
    </w:p>
    <w:p w14:paraId="1F62B6AB">
      <w:pPr>
        <w:kinsoku/>
        <w:overflowPunct/>
        <w:bidi w:val="0"/>
        <w:adjustRightInd w:val="0"/>
        <w:snapToGrid w:val="0"/>
        <w:spacing w:line="440" w:lineRule="exact"/>
        <w:ind w:firstLine="422" w:firstLineChars="200"/>
        <w:jc w:val="left"/>
        <w:rPr>
          <w:rFonts w:hint="eastAsia" w:ascii="黑体" w:hAnsi="黑体" w:eastAsia="黑体" w:cs="黑体"/>
          <w:b/>
          <w:color w:val="000000"/>
          <w:szCs w:val="21"/>
        </w:rPr>
      </w:pPr>
      <w:r>
        <w:rPr>
          <w:rFonts w:hint="eastAsia" w:ascii="黑体" w:hAnsi="黑体" w:eastAsia="黑体" w:cs="黑体"/>
          <w:b/>
          <w:color w:val="000000"/>
          <w:szCs w:val="21"/>
        </w:rPr>
        <w:t>温馨提示：请投标人认真准备投标文件资格审查资料,如评标专家在检验电子标书过程中，如果由于投标人自身原因导致评标专家无法查看并检验电子标书中相关资料的，视为无效标处理。即使投标人将原件携带至现场的，同样按无效标处理。</w:t>
      </w:r>
    </w:p>
    <w:p w14:paraId="343AD25B">
      <w:pPr>
        <w:pStyle w:val="4"/>
        <w:kinsoku/>
        <w:overflowPunct/>
        <w:bidi w:val="0"/>
        <w:adjustRightInd w:val="0"/>
        <w:snapToGrid w:val="0"/>
        <w:spacing w:before="0" w:after="0" w:line="440" w:lineRule="exact"/>
        <w:ind w:firstLine="422" w:firstLineChars="200"/>
        <w:rPr>
          <w:rFonts w:hint="eastAsia" w:ascii="黑体" w:hAnsi="黑体" w:cs="黑体"/>
          <w:color w:val="000000"/>
          <w:sz w:val="21"/>
          <w:szCs w:val="21"/>
        </w:rPr>
      </w:pPr>
      <w:bookmarkStart w:id="72" w:name="_Toc13799"/>
      <w:bookmarkStart w:id="73" w:name="_Toc31948"/>
      <w:r>
        <w:rPr>
          <w:rFonts w:hint="eastAsia" w:ascii="黑体" w:hAnsi="黑体" w:cs="黑体"/>
          <w:color w:val="000000"/>
          <w:sz w:val="21"/>
          <w:szCs w:val="21"/>
        </w:rPr>
        <w:t>2.审查办法</w:t>
      </w:r>
      <w:bookmarkEnd w:id="72"/>
      <w:bookmarkEnd w:id="73"/>
    </w:p>
    <w:p w14:paraId="6D792816">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由资格审查委员会（评标委员会）按资格审查办法前附表中资格审查必要合格条件评审表要求对投标人审查资料进行核验。</w:t>
      </w:r>
    </w:p>
    <w:p w14:paraId="6E2F1826">
      <w:pPr>
        <w:pStyle w:val="4"/>
        <w:kinsoku/>
        <w:overflowPunct/>
        <w:bidi w:val="0"/>
        <w:adjustRightInd w:val="0"/>
        <w:snapToGrid w:val="0"/>
        <w:spacing w:before="0" w:after="0" w:line="440" w:lineRule="exact"/>
        <w:ind w:firstLine="422" w:firstLineChars="200"/>
        <w:rPr>
          <w:rFonts w:hint="eastAsia" w:ascii="黑体" w:hAnsi="黑体" w:cs="黑体"/>
          <w:color w:val="000000"/>
          <w:sz w:val="21"/>
          <w:szCs w:val="21"/>
        </w:rPr>
      </w:pPr>
      <w:bookmarkStart w:id="74" w:name="_Toc23122"/>
      <w:bookmarkStart w:id="75" w:name="_Toc29285"/>
      <w:r>
        <w:rPr>
          <w:rFonts w:hint="eastAsia" w:ascii="黑体" w:hAnsi="黑体" w:cs="黑体"/>
          <w:color w:val="000000"/>
          <w:sz w:val="21"/>
          <w:szCs w:val="21"/>
        </w:rPr>
        <w:t>3.资格审查委员会和审查标准</w:t>
      </w:r>
      <w:bookmarkEnd w:id="74"/>
      <w:bookmarkEnd w:id="75"/>
    </w:p>
    <w:p w14:paraId="44A9EA66">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3.1资格审查由招标人依法组建的资格审查委员会（或评标委员会）负责。审查标准见资格审查办法前附表。</w:t>
      </w:r>
    </w:p>
    <w:p w14:paraId="0D90F635">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 xml:space="preserve">3.2由资格审查委员会（评标委员会）按资格审查办法前附表要求对投标人的审查资料进行核验。投标申请人有下列情形之一的，其资格审查为不合格： </w:t>
      </w:r>
    </w:p>
    <w:p w14:paraId="52909CA9">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（1）未上传电子标书或电子标书经审查不合格；</w:t>
      </w:r>
    </w:p>
    <w:p w14:paraId="569DD66C">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（2）联合体投标人没有提交联合体协议书；</w:t>
      </w:r>
    </w:p>
    <w:p w14:paraId="0373D613">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 xml:space="preserve">（3）保证金不按“投标人须知”及其前附表要求提交投标保证金的； </w:t>
      </w:r>
    </w:p>
    <w:p w14:paraId="5EDF7A9B">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w:t>
      </w:r>
      <w:r>
        <w:rPr>
          <w:rFonts w:hint="eastAsia" w:ascii="宋体" w:hAnsi="宋体" w:cs="宋体"/>
          <w:color w:val="000000"/>
          <w:szCs w:val="21"/>
          <w:lang w:val="en-US" w:eastAsia="zh-CN"/>
        </w:rPr>
        <w:t>4</w:t>
      </w:r>
      <w:r>
        <w:rPr>
          <w:rFonts w:hint="eastAsia" w:ascii="宋体" w:hAnsi="宋体" w:cs="宋体"/>
          <w:color w:val="000000"/>
          <w:szCs w:val="21"/>
        </w:rPr>
        <w:t>）法律、法规规定的其他情形。</w:t>
      </w:r>
    </w:p>
    <w:p w14:paraId="4EF6BBA4">
      <w:pPr>
        <w:pStyle w:val="4"/>
        <w:kinsoku/>
        <w:overflowPunct/>
        <w:bidi w:val="0"/>
        <w:adjustRightInd w:val="0"/>
        <w:snapToGrid w:val="0"/>
        <w:spacing w:before="0" w:after="0" w:line="440" w:lineRule="exact"/>
        <w:ind w:firstLine="422" w:firstLineChars="200"/>
        <w:rPr>
          <w:rFonts w:hint="eastAsia" w:ascii="黑体" w:hAnsi="黑体" w:cs="黑体"/>
          <w:color w:val="000000"/>
          <w:sz w:val="21"/>
          <w:szCs w:val="21"/>
        </w:rPr>
      </w:pPr>
      <w:bookmarkStart w:id="76" w:name="_Toc16034"/>
      <w:bookmarkStart w:id="77" w:name="_Toc18794"/>
      <w:r>
        <w:rPr>
          <w:rFonts w:hint="eastAsia" w:ascii="黑体" w:hAnsi="黑体" w:cs="黑体"/>
          <w:color w:val="000000"/>
          <w:sz w:val="21"/>
          <w:szCs w:val="21"/>
        </w:rPr>
        <w:t>4.审查结果</w:t>
      </w:r>
      <w:bookmarkEnd w:id="76"/>
      <w:bookmarkEnd w:id="77"/>
    </w:p>
    <w:p w14:paraId="70034304">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只有通过资格审查的投标人才能进入下一步的评标程序。</w:t>
      </w:r>
    </w:p>
    <w:p w14:paraId="71D612DD">
      <w:pPr>
        <w:kinsoku/>
        <w:overflowPunct/>
        <w:bidi w:val="0"/>
        <w:spacing w:line="440" w:lineRule="exact"/>
        <w:rPr>
          <w:rFonts w:hint="eastAsia"/>
        </w:rPr>
      </w:pPr>
      <w:bookmarkStart w:id="78" w:name="_Toc95223398"/>
      <w:bookmarkStart w:id="79" w:name="_Toc15058912"/>
      <w:bookmarkStart w:id="80" w:name="_Toc506107323"/>
      <w:bookmarkStart w:id="81" w:name="_Toc60061495"/>
    </w:p>
    <w:bookmarkEnd w:id="78"/>
    <w:bookmarkEnd w:id="79"/>
    <w:bookmarkEnd w:id="80"/>
    <w:bookmarkEnd w:id="81"/>
    <w:p w14:paraId="7362472C">
      <w:pPr>
        <w:pStyle w:val="48"/>
        <w:rPr>
          <w:rFonts w:hint="eastAsia"/>
          <w:color w:val="auto"/>
          <w:highlight w:val="none"/>
          <w:lang w:val="en-US" w:eastAsia="zh-CN"/>
        </w:rPr>
      </w:pPr>
    </w:p>
    <w:p w14:paraId="2921D19B">
      <w:pPr>
        <w:rPr>
          <w:rFonts w:hint="eastAsia" w:ascii="宋体" w:hAnsi="宋体" w:eastAsia="宋体" w:cs="宋体"/>
          <w:color w:val="auto"/>
          <w:highlight w:val="none"/>
          <w:lang w:val="en-US" w:eastAsia="zh-CN"/>
        </w:rPr>
      </w:pPr>
    </w:p>
    <w:p w14:paraId="1C5BE0D6">
      <w:pPr>
        <w:rPr>
          <w:rFonts w:hint="eastAsia" w:ascii="宋体" w:hAnsi="宋体" w:eastAsia="宋体" w:cs="宋体"/>
          <w:color w:val="auto"/>
          <w:highlight w:val="none"/>
          <w:lang w:val="en-US" w:eastAsia="zh-CN"/>
        </w:rPr>
      </w:pPr>
    </w:p>
    <w:p w14:paraId="6A8D23AC">
      <w:pPr>
        <w:rPr>
          <w:rFonts w:hint="eastAsia" w:ascii="宋体" w:hAnsi="宋体" w:eastAsia="宋体" w:cs="宋体"/>
          <w:color w:val="auto"/>
          <w:highlight w:val="none"/>
          <w:lang w:val="en-US" w:eastAsia="zh-CN"/>
        </w:rPr>
      </w:pPr>
    </w:p>
    <w:p w14:paraId="0ABD2B36">
      <w:pPr>
        <w:pStyle w:val="3"/>
        <w:spacing w:before="0" w:after="0"/>
        <w:rPr>
          <w:rFonts w:hint="eastAsia" w:ascii="宋体" w:hAnsi="宋体" w:eastAsia="宋体" w:cs="宋体"/>
          <w:color w:val="auto"/>
          <w:highlight w:val="none"/>
          <w:lang w:val="en-US" w:eastAsia="zh-CN"/>
        </w:rPr>
      </w:pPr>
      <w:bookmarkStart w:id="82" w:name="_Toc32139"/>
      <w:r>
        <w:rPr>
          <w:rFonts w:hint="eastAsia" w:ascii="宋体" w:hAnsi="宋体" w:eastAsia="宋体" w:cs="宋体"/>
          <w:color w:val="auto"/>
          <w:highlight w:val="none"/>
          <w:lang w:val="en-US" w:eastAsia="zh-CN"/>
        </w:rPr>
        <w:t>第三章  评标办法</w:t>
      </w:r>
      <w:bookmarkEnd w:id="82"/>
    </w:p>
    <w:p w14:paraId="73184A28">
      <w:pPr>
        <w:spacing w:line="480" w:lineRule="exact"/>
        <w:rPr>
          <w:rFonts w:hint="eastAsia" w:ascii="宋体" w:hAnsi="宋体" w:cs="宋体"/>
          <w:color w:val="auto"/>
          <w:szCs w:val="21"/>
          <w:highlight w:val="none"/>
        </w:rPr>
      </w:pPr>
      <w:r>
        <w:rPr>
          <w:rFonts w:hint="eastAsia" w:ascii="宋体" w:hAnsi="宋体" w:cs="宋体"/>
          <w:color w:val="auto"/>
          <w:szCs w:val="21"/>
          <w:highlight w:val="none"/>
        </w:rPr>
        <w:t>1、本次评选方法采用</w:t>
      </w:r>
      <w:r>
        <w:rPr>
          <w:rFonts w:hint="eastAsia" w:ascii="宋体" w:hAnsi="宋体" w:cs="宋体"/>
          <w:color w:val="auto"/>
          <w:szCs w:val="21"/>
          <w:highlight w:val="none"/>
          <w:lang w:eastAsia="zh-CN"/>
        </w:rPr>
        <w:t>最低评标价法</w:t>
      </w:r>
      <w:r>
        <w:rPr>
          <w:rFonts w:hint="eastAsia" w:ascii="宋体" w:hAnsi="宋体" w:cs="宋体"/>
          <w:color w:val="auto"/>
          <w:szCs w:val="21"/>
          <w:highlight w:val="none"/>
        </w:rPr>
        <w:t>。评标委员会按修正后按投标报价（扣除可抵扣的进项税后的金额）由低到高顺序排序，确定中标候选人。如出现报价相同情况，则由开票税率从高到低确定中标候选人排名顺序，若开票税率也相同，则由招标人或评标委员会随机抽取确定。备注：所有计算均保留小数点后两位，第三位四舍五入进行计算。</w:t>
      </w:r>
    </w:p>
    <w:p w14:paraId="67037DF2">
      <w:pPr>
        <w:spacing w:line="480" w:lineRule="exact"/>
        <w:rPr>
          <w:rFonts w:hint="eastAsia" w:ascii="宋体" w:hAnsi="宋体" w:cs="宋体"/>
          <w:color w:val="auto"/>
          <w:szCs w:val="21"/>
          <w:highlight w:val="none"/>
        </w:rPr>
      </w:pPr>
      <w:r>
        <w:rPr>
          <w:rFonts w:hint="eastAsia" w:ascii="宋体" w:hAnsi="宋体" w:cs="宋体"/>
          <w:color w:val="auto"/>
          <w:szCs w:val="21"/>
          <w:highlight w:val="none"/>
        </w:rPr>
        <w:t>2、投标报价（扣除可抵扣的进项税后的金额）</w:t>
      </w:r>
      <w:r>
        <w:rPr>
          <w:rFonts w:hint="eastAsia" w:ascii="宋体" w:hAnsi="宋体" w:cs="宋体"/>
          <w:color w:val="auto"/>
          <w:szCs w:val="21"/>
          <w:highlight w:val="none"/>
          <w:lang w:val="en-US" w:eastAsia="zh-CN"/>
        </w:rPr>
        <w:t>=投标报价/（1+开票税率）</w:t>
      </w:r>
      <w:r>
        <w:rPr>
          <w:rFonts w:hint="eastAsia" w:ascii="宋体" w:hAnsi="宋体" w:cs="宋体"/>
          <w:color w:val="auto"/>
          <w:szCs w:val="21"/>
          <w:highlight w:val="none"/>
        </w:rPr>
        <w:t>。</w:t>
      </w:r>
    </w:p>
    <w:bookmarkEnd w:id="57"/>
    <w:bookmarkEnd w:id="58"/>
    <w:bookmarkEnd w:id="59"/>
    <w:p w14:paraId="2E7225DC">
      <w:pPr>
        <w:pageBreakBefore/>
        <w:spacing w:before="249" w:beforeLines="80" w:after="249" w:afterLines="80" w:line="440" w:lineRule="exact"/>
        <w:jc w:val="center"/>
        <w:outlineLvl w:val="1"/>
        <w:rPr>
          <w:rFonts w:hint="default" w:ascii="宋体" w:eastAsia="宋体"/>
          <w:b/>
          <w:color w:val="auto"/>
          <w:sz w:val="32"/>
          <w:szCs w:val="32"/>
          <w:highlight w:val="none"/>
          <w:lang w:val="en-US" w:eastAsia="zh-CN"/>
        </w:rPr>
      </w:pPr>
      <w:bookmarkStart w:id="83" w:name="_Toc77262196"/>
      <w:r>
        <w:rPr>
          <w:rFonts w:hint="eastAsia" w:ascii="宋体"/>
          <w:b/>
          <w:color w:val="auto"/>
          <w:sz w:val="32"/>
          <w:szCs w:val="32"/>
          <w:highlight w:val="none"/>
        </w:rPr>
        <w:t>第</w:t>
      </w:r>
      <w:r>
        <w:rPr>
          <w:rFonts w:hint="eastAsia" w:ascii="宋体"/>
          <w:b/>
          <w:color w:val="auto"/>
          <w:sz w:val="32"/>
          <w:szCs w:val="32"/>
          <w:highlight w:val="none"/>
          <w:lang w:val="en-US" w:eastAsia="zh-CN"/>
        </w:rPr>
        <w:t>四</w:t>
      </w:r>
      <w:r>
        <w:rPr>
          <w:rFonts w:hint="eastAsia" w:ascii="宋体"/>
          <w:b/>
          <w:color w:val="auto"/>
          <w:sz w:val="32"/>
          <w:szCs w:val="32"/>
          <w:highlight w:val="none"/>
        </w:rPr>
        <w:t>章</w:t>
      </w:r>
      <w:r>
        <w:rPr>
          <w:rFonts w:ascii="宋体"/>
          <w:b/>
          <w:color w:val="auto"/>
          <w:sz w:val="32"/>
          <w:szCs w:val="32"/>
          <w:highlight w:val="none"/>
        </w:rPr>
        <w:t xml:space="preserve">  </w:t>
      </w:r>
      <w:bookmarkEnd w:id="83"/>
      <w:r>
        <w:rPr>
          <w:rFonts w:hint="eastAsia" w:ascii="宋体"/>
          <w:b/>
          <w:color w:val="auto"/>
          <w:sz w:val="32"/>
          <w:szCs w:val="32"/>
          <w:highlight w:val="none"/>
          <w:lang w:val="en-US" w:eastAsia="zh-CN"/>
        </w:rPr>
        <w:t>工程量清单</w:t>
      </w:r>
    </w:p>
    <w:tbl>
      <w:tblPr>
        <w:tblStyle w:val="49"/>
        <w:tblW w:w="945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24"/>
        <w:gridCol w:w="1246"/>
        <w:gridCol w:w="4828"/>
        <w:gridCol w:w="1536"/>
        <w:gridCol w:w="924"/>
      </w:tblGrid>
      <w:tr w14:paraId="1B443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7" w:hRule="atLeast"/>
        </w:trPr>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5EB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315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项目名称</w:t>
            </w:r>
          </w:p>
        </w:tc>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460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项目特征描述</w:t>
            </w:r>
          </w:p>
        </w:tc>
        <w:tc>
          <w:tcPr>
            <w:tcW w:w="13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C38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单位</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C3EC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64"/>
                <w:lang w:val="en-US" w:eastAsia="zh-CN" w:bidi="ar"/>
              </w:rPr>
              <w:t>工程量</w:t>
            </w:r>
          </w:p>
        </w:tc>
      </w:tr>
      <w:tr w14:paraId="043603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443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B50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组合式成套箱式变电站</w:t>
            </w:r>
          </w:p>
        </w:tc>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1392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1.名称:欧式箱变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2.容量(kV·A):SCB14-3000KVA</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3.含变压器元器件及相关附件安装，含变压器配套接线电缆及配管安装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DBB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337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01C4E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535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DA8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箱变基础</w:t>
            </w:r>
          </w:p>
        </w:tc>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0B1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1.名称:欧式箱变基础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192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21F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43AEF9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C98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CF8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电力电缆</w:t>
            </w:r>
          </w:p>
        </w:tc>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5732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1.名称:高压电缆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2.型号:ZC-YJY22-8.7/15kV-3*240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9EF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31B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535</w:t>
            </w:r>
          </w:p>
        </w:tc>
      </w:tr>
      <w:tr w14:paraId="359793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38F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F29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电力电缆头</w:t>
            </w:r>
          </w:p>
        </w:tc>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428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1.名称:高压电缆终端头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2.型号:电缆截面(mm2) ≤240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AC7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D6C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14:paraId="7856EA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67B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6E9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接地极</w:t>
            </w:r>
          </w:p>
        </w:tc>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ECA9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1.名称:接地极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2.材质:热镀锌角钢50×5-2.5m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B80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0F6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7AB153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FDF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A27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接地母线</w:t>
            </w:r>
          </w:p>
        </w:tc>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EC7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1.名称:接地母线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2.材质:热镀锌扁钢-50×5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08D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721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r>
      <w:tr w14:paraId="5658B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56B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D82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电力变压器系统</w:t>
            </w:r>
          </w:p>
        </w:tc>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EF9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1.名称:电力变压器系统调试 容量(kV·A) ≤4000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4F1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系统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34C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13C0AC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113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02C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送配电装置系统</w:t>
            </w:r>
          </w:p>
        </w:tc>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37C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1.名称:输配电装置系统调试 ≤10kV交流供电 带断路器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889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系统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BB9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7182B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CDF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00B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送配电装置系统</w:t>
            </w:r>
          </w:p>
        </w:tc>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16F4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1.名称:输配电装置系统调试 ≤1kV 交流供电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36A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系统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031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6A728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000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404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电容器</w:t>
            </w:r>
          </w:p>
        </w:tc>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5775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1.名称:无功补偿装置系统调试 电容器电压 ≤1kV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8A9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896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2E191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A07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A33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接地装置</w:t>
            </w:r>
          </w:p>
        </w:tc>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FA1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1.名称:接地系统测试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BC8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系统/组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654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4B4E6D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565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F60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电缆试验</w:t>
            </w:r>
          </w:p>
        </w:tc>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DBA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1.名称:高压电缆耐压试验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8A7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次（根、点）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F19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5FB6DC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5D2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DB7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避雷器调试</w:t>
            </w:r>
          </w:p>
        </w:tc>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861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1.名称:避雷器调试（10KV以下）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920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F66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0048F4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059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3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9F5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设计费</w:t>
            </w:r>
          </w:p>
        </w:tc>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AF0F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1.名称:供电图纸设计费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51E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3AA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bl>
    <w:p w14:paraId="6508A81C">
      <w:pPr>
        <w:tabs>
          <w:tab w:val="left" w:pos="8820"/>
        </w:tabs>
        <w:snapToGrid w:val="0"/>
        <w:spacing w:line="400" w:lineRule="exact"/>
        <w:ind w:firstLine="420" w:firstLineChars="200"/>
        <w:rPr>
          <w:rFonts w:hint="eastAsia" w:ascii="宋体" w:hAnsi="Times New Roman" w:eastAsia="宋体" w:cs="Times New Roman"/>
          <w:color w:val="auto"/>
          <w:szCs w:val="21"/>
          <w:highlight w:val="none"/>
          <w:lang w:val="en-US" w:eastAsia="zh-CN"/>
        </w:rPr>
      </w:pPr>
      <w:r>
        <w:rPr>
          <w:rFonts w:hint="eastAsia" w:ascii="宋体" w:hAnsi="Times New Roman" w:eastAsia="宋体" w:cs="Times New Roman"/>
          <w:color w:val="auto"/>
          <w:szCs w:val="21"/>
          <w:highlight w:val="none"/>
          <w:lang w:val="en-US" w:eastAsia="zh-CN"/>
        </w:rPr>
        <w:t>备注:1、变压器内部器件必须为全铜的，要符合国家二级能耗，需现场实验报告，开关为德力西等一线品牌</w:t>
      </w:r>
      <w:r>
        <w:rPr>
          <w:rFonts w:hint="eastAsia" w:ascii="宋体" w:cs="Times New Roman"/>
          <w:color w:val="auto"/>
          <w:szCs w:val="21"/>
          <w:highlight w:val="none"/>
          <w:lang w:val="en-US" w:eastAsia="zh-CN"/>
        </w:rPr>
        <w:t>、</w:t>
      </w:r>
      <w:r>
        <w:rPr>
          <w:rFonts w:hint="eastAsia" w:ascii="宋体" w:hAnsi="Times New Roman" w:eastAsia="宋体" w:cs="Times New Roman"/>
          <w:color w:val="auto"/>
          <w:szCs w:val="21"/>
          <w:highlight w:val="none"/>
          <w:lang w:val="en-US" w:eastAsia="zh-CN"/>
        </w:rPr>
        <w:t>电缆为主流品牌、国标电缆;进场前必须提供相关检测报告并经过招标人认可后方可进场安装，否则不予计费。</w:t>
      </w:r>
    </w:p>
    <w:p w14:paraId="78E63D6B">
      <w:pPr>
        <w:numPr>
          <w:ilvl w:val="0"/>
          <w:numId w:val="1"/>
        </w:numPr>
        <w:tabs>
          <w:tab w:val="left" w:pos="8820"/>
        </w:tabs>
        <w:snapToGrid w:val="0"/>
        <w:spacing w:line="400" w:lineRule="exact"/>
        <w:ind w:firstLine="420" w:firstLineChars="200"/>
        <w:rPr>
          <w:rFonts w:hint="eastAsia" w:ascii="宋体" w:hAnsi="Times New Roman" w:eastAsia="宋体" w:cs="Times New Roman"/>
          <w:color w:val="auto"/>
          <w:szCs w:val="21"/>
          <w:highlight w:val="none"/>
          <w:lang w:val="en-US" w:eastAsia="zh-CN"/>
        </w:rPr>
      </w:pPr>
      <w:r>
        <w:rPr>
          <w:rFonts w:hint="eastAsia" w:ascii="宋体" w:hAnsi="Times New Roman" w:eastAsia="宋体" w:cs="Times New Roman"/>
          <w:color w:val="auto"/>
          <w:szCs w:val="21"/>
          <w:highlight w:val="none"/>
          <w:lang w:val="en-US" w:eastAsia="zh-CN"/>
        </w:rPr>
        <w:t>本项目为固定总价合同，投标人自行勘察现场，以上工程量均为估算，后期进场施工必须按实际要求进行安装，若未勘察现场造成的工程量差距不予认可，价格不调整。</w:t>
      </w:r>
    </w:p>
    <w:p w14:paraId="56706D17">
      <w:pPr>
        <w:numPr>
          <w:ilvl w:val="0"/>
          <w:numId w:val="0"/>
        </w:numPr>
        <w:tabs>
          <w:tab w:val="left" w:pos="8820"/>
        </w:tabs>
        <w:snapToGrid w:val="0"/>
        <w:spacing w:line="400" w:lineRule="exact"/>
        <w:ind w:firstLine="420" w:firstLineChars="200"/>
        <w:rPr>
          <w:rFonts w:hint="eastAsia" w:ascii="宋体" w:hAnsi="Times New Roman" w:eastAsia="宋体" w:cs="Times New Roman"/>
          <w:color w:val="auto"/>
          <w:szCs w:val="21"/>
          <w:highlight w:val="none"/>
          <w:lang w:val="en-US" w:eastAsia="zh-CN"/>
        </w:rPr>
      </w:pPr>
      <w:r>
        <w:rPr>
          <w:rFonts w:hint="eastAsia" w:ascii="宋体" w:hAnsi="Times New Roman" w:eastAsia="宋体" w:cs="Times New Roman"/>
          <w:color w:val="auto"/>
          <w:szCs w:val="21"/>
          <w:highlight w:val="none"/>
          <w:lang w:val="en-US" w:eastAsia="zh-CN"/>
        </w:rPr>
        <w:t>3、本项目为“交钥匙”工程，到变压器送电，合同总价包含所有涉及到本项目的费用，投标人自行考虑报价，结算时总价不予调整。</w:t>
      </w:r>
    </w:p>
    <w:p w14:paraId="35A28FAA">
      <w:pPr>
        <w:tabs>
          <w:tab w:val="left" w:pos="8820"/>
        </w:tabs>
        <w:snapToGrid w:val="0"/>
        <w:spacing w:line="400" w:lineRule="exact"/>
        <w:ind w:firstLine="420" w:firstLineChars="200"/>
        <w:rPr>
          <w:rFonts w:hint="default" w:ascii="宋体" w:hAnsi="Times New Roman" w:eastAsia="宋体" w:cs="Times New Roman"/>
          <w:color w:val="0000FF"/>
          <w:szCs w:val="21"/>
          <w:highlight w:val="none"/>
          <w:lang w:val="en-US" w:eastAsia="zh-CN"/>
        </w:rPr>
      </w:pPr>
      <w:r>
        <w:rPr>
          <w:rFonts w:hint="eastAsia" w:ascii="宋体" w:cs="Times New Roman"/>
          <w:color w:val="0000FF"/>
          <w:szCs w:val="21"/>
          <w:highlight w:val="none"/>
          <w:lang w:val="en-US" w:eastAsia="zh-CN"/>
        </w:rPr>
        <w:t>4</w:t>
      </w:r>
      <w:r>
        <w:rPr>
          <w:rFonts w:hint="eastAsia" w:ascii="宋体" w:hAnsi="Times New Roman" w:eastAsia="宋体" w:cs="Times New Roman"/>
          <w:color w:val="0000FF"/>
          <w:szCs w:val="21"/>
          <w:highlight w:val="none"/>
          <w:lang w:val="en-US" w:eastAsia="zh-CN"/>
        </w:rPr>
        <w:t>、本项目设计费为固定费用6000元，已包含在最高限价中，由中标人支付给设计单位，请投标人自行考虑此项费用，合理进行报价。</w:t>
      </w:r>
    </w:p>
    <w:p w14:paraId="142A2ADB">
      <w:pPr>
        <w:rPr>
          <w:rFonts w:hint="eastAsia" w:ascii="Times New Roman" w:hAnsi="Times New Roman" w:eastAsia="宋体"/>
          <w:b/>
          <w:bCs/>
          <w:color w:val="auto"/>
          <w:kern w:val="44"/>
          <w:sz w:val="32"/>
          <w:szCs w:val="32"/>
          <w:lang w:val="en-US" w:eastAsia="zh-CN" w:bidi="ar-SA"/>
        </w:rPr>
      </w:pPr>
      <w:bookmarkStart w:id="84" w:name="_Toc22935"/>
      <w:bookmarkStart w:id="85" w:name="_Toc20868"/>
      <w:bookmarkStart w:id="86" w:name="_Toc12315"/>
      <w:bookmarkStart w:id="87" w:name="_Toc31238"/>
    </w:p>
    <w:p w14:paraId="7A4CFCEE">
      <w:pPr>
        <w:pStyle w:val="3"/>
        <w:numPr>
          <w:ilvl w:val="0"/>
          <w:numId w:val="0"/>
        </w:numPr>
        <w:spacing w:before="0" w:after="0"/>
        <w:jc w:val="center"/>
        <w:rPr>
          <w:rFonts w:hint="eastAsia"/>
          <w:color w:val="auto"/>
          <w:sz w:val="32"/>
          <w:szCs w:val="32"/>
          <w:highlight w:val="none"/>
        </w:rPr>
      </w:pPr>
      <w:r>
        <w:rPr>
          <w:rFonts w:hint="eastAsia" w:ascii="Times New Roman" w:hAnsi="Times New Roman" w:eastAsia="宋体"/>
          <w:b/>
          <w:bCs/>
          <w:color w:val="auto"/>
          <w:kern w:val="44"/>
          <w:sz w:val="32"/>
          <w:szCs w:val="32"/>
          <w:lang w:val="en-US" w:eastAsia="zh-CN" w:bidi="ar-SA"/>
        </w:rPr>
        <w:t>第</w:t>
      </w:r>
      <w:r>
        <w:rPr>
          <w:rFonts w:hint="eastAsia"/>
          <w:b/>
          <w:bCs/>
          <w:color w:val="auto"/>
          <w:kern w:val="44"/>
          <w:sz w:val="32"/>
          <w:szCs w:val="32"/>
          <w:lang w:val="en-US" w:eastAsia="zh-CN" w:bidi="ar-SA"/>
        </w:rPr>
        <w:t>五</w:t>
      </w:r>
      <w:r>
        <w:rPr>
          <w:rFonts w:hint="eastAsia" w:ascii="Times New Roman" w:hAnsi="Times New Roman" w:eastAsia="宋体"/>
          <w:b/>
          <w:bCs/>
          <w:color w:val="auto"/>
          <w:kern w:val="44"/>
          <w:sz w:val="32"/>
          <w:szCs w:val="32"/>
          <w:lang w:val="en-US" w:eastAsia="zh-CN" w:bidi="ar-SA"/>
        </w:rPr>
        <w:t>章</w:t>
      </w:r>
      <w:r>
        <w:rPr>
          <w:rFonts w:hint="eastAsia"/>
          <w:b/>
          <w:bCs/>
          <w:color w:val="auto"/>
          <w:kern w:val="44"/>
          <w:sz w:val="32"/>
          <w:szCs w:val="32"/>
          <w:lang w:val="en-US" w:eastAsia="zh-CN" w:bidi="ar-SA"/>
        </w:rPr>
        <w:t xml:space="preserve">   </w:t>
      </w:r>
      <w:r>
        <w:rPr>
          <w:rFonts w:hint="eastAsia"/>
          <w:color w:val="auto"/>
          <w:sz w:val="32"/>
          <w:szCs w:val="32"/>
          <w:highlight w:val="none"/>
        </w:rPr>
        <w:t>合同条款及格式</w:t>
      </w:r>
      <w:bookmarkEnd w:id="84"/>
      <w:bookmarkEnd w:id="85"/>
      <w:bookmarkEnd w:id="86"/>
    </w:p>
    <w:p w14:paraId="615A17D8">
      <w:pPr>
        <w:widowControl/>
        <w:numPr>
          <w:ilvl w:val="0"/>
          <w:numId w:val="2"/>
        </w:numPr>
        <w:spacing w:before="156" w:beforeLines="50" w:after="156" w:afterLines="50" w:line="440" w:lineRule="exact"/>
        <w:ind w:left="0" w:firstLine="0"/>
        <w:jc w:val="center"/>
        <w:textAlignment w:val="baseline"/>
        <w:outlineLvl w:val="1"/>
        <w:rPr>
          <w:rFonts w:hint="eastAsia" w:ascii="宋体" w:hAnsi="宋体" w:cs="宋体"/>
          <w:b/>
          <w:color w:val="auto"/>
          <w:sz w:val="30"/>
          <w:szCs w:val="30"/>
          <w:highlight w:val="none"/>
        </w:rPr>
      </w:pPr>
      <w:r>
        <w:rPr>
          <w:rFonts w:hint="eastAsia" w:ascii="宋体" w:hAnsi="宋体" w:cs="宋体"/>
          <w:b/>
          <w:color w:val="auto"/>
          <w:sz w:val="28"/>
          <w:szCs w:val="28"/>
          <w:highlight w:val="none"/>
        </w:rPr>
        <w:t xml:space="preserve">  </w:t>
      </w:r>
      <w:bookmarkStart w:id="88" w:name="_Toc30183"/>
      <w:bookmarkStart w:id="89" w:name="_Toc24874"/>
      <w:r>
        <w:rPr>
          <w:rFonts w:hint="eastAsia" w:ascii="宋体" w:hAnsi="宋体" w:cs="宋体"/>
          <w:b/>
          <w:color w:val="auto"/>
          <w:sz w:val="28"/>
          <w:szCs w:val="28"/>
          <w:highlight w:val="none"/>
        </w:rPr>
        <w:t>合同协议书（格式）</w:t>
      </w:r>
      <w:bookmarkEnd w:id="88"/>
      <w:bookmarkEnd w:id="89"/>
    </w:p>
    <w:p w14:paraId="4B591551">
      <w:pPr>
        <w:spacing w:line="440" w:lineRule="exact"/>
        <w:ind w:firstLine="2932" w:firstLineChars="1043"/>
        <w:rPr>
          <w:rFonts w:hint="eastAsia" w:ascii="宋体" w:hAnsi="宋体" w:eastAsia="宋体" w:cs="宋体"/>
          <w:color w:val="auto"/>
          <w:sz w:val="24"/>
          <w:highlight w:val="none"/>
          <w:lang w:eastAsia="zh-CN"/>
        </w:rPr>
      </w:pPr>
      <w:r>
        <w:rPr>
          <w:rFonts w:hint="eastAsia" w:ascii="宋体" w:hAnsi="宋体" w:cs="宋体"/>
          <w:b/>
          <w:color w:val="auto"/>
          <w:sz w:val="28"/>
          <w:szCs w:val="28"/>
          <w:highlight w:val="none"/>
        </w:rPr>
        <w:t xml:space="preserve">合同名称 </w:t>
      </w:r>
      <w:r>
        <w:rPr>
          <w:rFonts w:hint="eastAsia" w:ascii="宋体" w:hAnsi="宋体" w:cs="宋体"/>
          <w:b/>
          <w:color w:val="auto"/>
          <w:sz w:val="24"/>
          <w:highlight w:val="none"/>
        </w:rPr>
        <w:t xml:space="preserve">  </w:t>
      </w:r>
      <w:r>
        <w:rPr>
          <w:rFonts w:hint="eastAsia" w:ascii="宋体" w:hAnsi="宋体" w:cs="宋体"/>
          <w:color w:val="auto"/>
          <w:sz w:val="24"/>
          <w:highlight w:val="none"/>
        </w:rPr>
        <w:t xml:space="preserve">          </w:t>
      </w:r>
      <w:r>
        <w:rPr>
          <w:rFonts w:hint="eastAsia" w:ascii="宋体" w:hAnsi="宋体" w:cs="宋体"/>
          <w:color w:val="auto"/>
          <w:sz w:val="24"/>
          <w:highlight w:val="none"/>
          <w:lang w:val="en-US" w:eastAsia="zh-CN"/>
        </w:rPr>
        <w:t xml:space="preserve"> </w:t>
      </w:r>
    </w:p>
    <w:p w14:paraId="21964A7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auto"/>
          <w:szCs w:val="21"/>
          <w:highlight w:val="none"/>
        </w:rPr>
      </w:pPr>
      <w:bookmarkStart w:id="90" w:name="_Toc144974578"/>
      <w:bookmarkStart w:id="91" w:name="_Toc246996253"/>
      <w:bookmarkStart w:id="92" w:name="_Toc179632628"/>
      <w:bookmarkStart w:id="93" w:name="_Toc152045610"/>
      <w:bookmarkStart w:id="94" w:name="_Toc296602498"/>
      <w:bookmarkStart w:id="95" w:name="_Toc469495742"/>
      <w:bookmarkStart w:id="96" w:name="_Toc246996996"/>
      <w:bookmarkStart w:id="97" w:name="_Toc152042388"/>
      <w:bookmarkStart w:id="98" w:name="_Toc247085768"/>
      <w:r>
        <w:rPr>
          <w:rFonts w:hint="eastAsia" w:ascii="宋体" w:hAnsi="宋体" w:cs="宋体"/>
          <w:color w:val="auto"/>
          <w:szCs w:val="21"/>
          <w:highlight w:val="none"/>
        </w:rPr>
        <w:t>买    方：                                   卖    方：</w:t>
      </w:r>
    </w:p>
    <w:p w14:paraId="1C7B1EB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电    话：                                   电    话：</w:t>
      </w:r>
    </w:p>
    <w:p w14:paraId="57E1575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 xml:space="preserve">住    所：                                   住    所：                       </w:t>
      </w:r>
    </w:p>
    <w:p w14:paraId="381193B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u w:val="single"/>
        </w:rPr>
        <w:t>（买方）</w:t>
      </w:r>
      <w:r>
        <w:rPr>
          <w:rFonts w:hint="eastAsia" w:ascii="宋体" w:hAnsi="宋体" w:cs="宋体"/>
          <w:color w:val="auto"/>
          <w:szCs w:val="21"/>
          <w:highlight w:val="none"/>
        </w:rPr>
        <w:t>的</w:t>
      </w:r>
      <w:r>
        <w:rPr>
          <w:rFonts w:hint="eastAsia" w:ascii="宋体" w:hAnsi="宋体" w:cs="宋体"/>
          <w:color w:val="auto"/>
          <w:szCs w:val="21"/>
          <w:highlight w:val="none"/>
          <w:u w:val="single"/>
        </w:rPr>
        <w:t>（项目名称）</w:t>
      </w:r>
      <w:r>
        <w:rPr>
          <w:rFonts w:hint="eastAsia" w:ascii="宋体" w:hAnsi="宋体" w:cs="宋体"/>
          <w:color w:val="auto"/>
          <w:szCs w:val="21"/>
          <w:highlight w:val="none"/>
        </w:rPr>
        <w:t>中所需</w:t>
      </w:r>
      <w:r>
        <w:rPr>
          <w:rFonts w:hint="eastAsia" w:ascii="宋体" w:hAnsi="宋体" w:cs="宋体"/>
          <w:color w:val="auto"/>
          <w:szCs w:val="21"/>
          <w:highlight w:val="none"/>
          <w:u w:val="single"/>
        </w:rPr>
        <w:t>（</w:t>
      </w:r>
      <w:r>
        <w:rPr>
          <w:rFonts w:hint="eastAsia" w:ascii="宋体" w:hAnsi="宋体" w:cs="宋体"/>
          <w:color w:val="auto"/>
          <w:szCs w:val="21"/>
          <w:highlight w:val="none"/>
          <w:u w:val="single"/>
          <w:lang w:val="en-US" w:eastAsia="zh-CN"/>
        </w:rPr>
        <w:t>项目</w:t>
      </w:r>
      <w:r>
        <w:rPr>
          <w:rFonts w:hint="eastAsia" w:ascii="宋体" w:hAnsi="宋体" w:cs="宋体"/>
          <w:color w:val="auto"/>
          <w:szCs w:val="21"/>
          <w:highlight w:val="none"/>
          <w:u w:val="single"/>
        </w:rPr>
        <w:t>名称）</w:t>
      </w:r>
      <w:r>
        <w:rPr>
          <w:rFonts w:hint="eastAsia" w:ascii="宋体" w:hAnsi="宋体" w:cs="宋体"/>
          <w:color w:val="auto"/>
          <w:szCs w:val="21"/>
          <w:highlight w:val="none"/>
        </w:rPr>
        <w:t xml:space="preserve"> 经公开招标，确定</w:t>
      </w:r>
      <w:r>
        <w:rPr>
          <w:rFonts w:hint="eastAsia" w:ascii="宋体" w:hAnsi="宋体" w:cs="宋体"/>
          <w:color w:val="auto"/>
          <w:szCs w:val="21"/>
          <w:highlight w:val="none"/>
          <w:u w:val="single"/>
        </w:rPr>
        <w:t>（卖方）</w:t>
      </w:r>
      <w:r>
        <w:rPr>
          <w:rFonts w:hint="eastAsia" w:ascii="宋体" w:hAnsi="宋体" w:cs="宋体"/>
          <w:color w:val="auto"/>
          <w:szCs w:val="21"/>
          <w:highlight w:val="none"/>
        </w:rPr>
        <w:t>为中标人。按照</w:t>
      </w:r>
      <w:r>
        <w:rPr>
          <w:rFonts w:hint="eastAsia" w:ascii="宋体" w:hAnsi="宋体" w:cs="宋体"/>
          <w:color w:val="auto"/>
          <w:szCs w:val="21"/>
          <w:highlight w:val="none"/>
          <w:lang w:eastAsia="zh-CN"/>
        </w:rPr>
        <w:t>《</w:t>
      </w:r>
      <w:r>
        <w:rPr>
          <w:rFonts w:hint="eastAsia" w:ascii="宋体" w:hAnsi="宋体" w:cs="宋体"/>
          <w:color w:val="auto"/>
          <w:szCs w:val="21"/>
          <w:highlight w:val="none"/>
        </w:rPr>
        <w:t>中华人民共和国</w:t>
      </w:r>
      <w:r>
        <w:rPr>
          <w:rFonts w:hint="eastAsia" w:ascii="宋体" w:hAnsi="宋体" w:cs="宋体"/>
          <w:color w:val="auto"/>
          <w:szCs w:val="21"/>
          <w:highlight w:val="none"/>
          <w:lang w:val="en-US" w:eastAsia="zh-CN"/>
        </w:rPr>
        <w:t>民法典》</w:t>
      </w:r>
      <w:r>
        <w:rPr>
          <w:rFonts w:hint="eastAsia" w:ascii="宋体" w:hAnsi="宋体" w:cs="宋体"/>
          <w:color w:val="auto"/>
          <w:szCs w:val="21"/>
          <w:highlight w:val="none"/>
        </w:rPr>
        <w:t>的规定，买卖双方同意按照下述的条款和条件，签署本合同。</w:t>
      </w:r>
    </w:p>
    <w:p w14:paraId="462D4B1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outlineLvl w:val="1"/>
        <w:rPr>
          <w:rFonts w:hint="eastAsia" w:ascii="宋体" w:hAnsi="宋体" w:cs="宋体"/>
          <w:color w:val="auto"/>
          <w:szCs w:val="21"/>
          <w:highlight w:val="none"/>
        </w:rPr>
      </w:pPr>
      <w:bookmarkStart w:id="99" w:name="_Toc22897"/>
      <w:bookmarkStart w:id="100" w:name="_Toc10447"/>
      <w:bookmarkStart w:id="101" w:name="_Toc15780"/>
      <w:r>
        <w:rPr>
          <w:rFonts w:hint="eastAsia" w:ascii="宋体" w:hAnsi="宋体" w:cs="宋体"/>
          <w:color w:val="auto"/>
          <w:szCs w:val="21"/>
          <w:highlight w:val="none"/>
        </w:rPr>
        <w:t>1、本合同文件</w:t>
      </w:r>
      <w:bookmarkEnd w:id="99"/>
      <w:bookmarkEnd w:id="100"/>
      <w:bookmarkEnd w:id="101"/>
    </w:p>
    <w:p w14:paraId="00F3C9F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下列每一文件均应作为合同的组成部分进行阅读和解释：</w:t>
      </w:r>
    </w:p>
    <w:p w14:paraId="36D121E9">
      <w:pPr>
        <w:keepNext w:val="0"/>
        <w:keepLines w:val="0"/>
        <w:pageBreakBefore w:val="0"/>
        <w:widowControl w:val="0"/>
        <w:numPr>
          <w:ilvl w:val="0"/>
          <w:numId w:val="3"/>
        </w:numPr>
        <w:kinsoku/>
        <w:wordWrap/>
        <w:overflowPunct/>
        <w:topLinePunct w:val="0"/>
        <w:autoSpaceDE/>
        <w:autoSpaceDN/>
        <w:bidi w:val="0"/>
        <w:adjustRightInd/>
        <w:snapToGrid/>
        <w:spacing w:line="440" w:lineRule="exact"/>
        <w:ind w:firstLine="210" w:firstLineChars="100"/>
        <w:textAlignment w:val="auto"/>
        <w:rPr>
          <w:rFonts w:hint="eastAsia" w:ascii="宋体" w:hAnsi="宋体" w:cs="宋体"/>
          <w:color w:val="auto"/>
          <w:szCs w:val="21"/>
          <w:highlight w:val="none"/>
        </w:rPr>
      </w:pPr>
      <w:r>
        <w:rPr>
          <w:rFonts w:hint="eastAsia" w:ascii="宋体" w:hAnsi="宋体" w:cs="宋体"/>
          <w:color w:val="auto"/>
          <w:szCs w:val="21"/>
          <w:highlight w:val="none"/>
          <w:lang w:eastAsia="zh-CN"/>
        </w:rPr>
        <w:t>招标文件；</w:t>
      </w:r>
    </w:p>
    <w:p w14:paraId="1FD86127">
      <w:pPr>
        <w:keepNext w:val="0"/>
        <w:keepLines w:val="0"/>
        <w:pageBreakBefore w:val="0"/>
        <w:widowControl w:val="0"/>
        <w:numPr>
          <w:ilvl w:val="0"/>
          <w:numId w:val="3"/>
        </w:numPr>
        <w:kinsoku/>
        <w:wordWrap/>
        <w:overflowPunct/>
        <w:topLinePunct w:val="0"/>
        <w:autoSpaceDE/>
        <w:autoSpaceDN/>
        <w:bidi w:val="0"/>
        <w:adjustRightInd/>
        <w:snapToGrid/>
        <w:spacing w:line="440" w:lineRule="exact"/>
        <w:ind w:left="0" w:leftChars="0" w:firstLine="210" w:firstLineChars="100"/>
        <w:textAlignment w:val="auto"/>
        <w:rPr>
          <w:rFonts w:hint="eastAsia" w:ascii="宋体" w:hAnsi="宋体" w:cs="宋体"/>
          <w:color w:val="auto"/>
          <w:szCs w:val="21"/>
          <w:highlight w:val="none"/>
        </w:rPr>
      </w:pPr>
      <w:r>
        <w:rPr>
          <w:rFonts w:hint="eastAsia" w:ascii="宋体" w:hAnsi="宋体" w:cs="宋体"/>
          <w:color w:val="auto"/>
          <w:szCs w:val="21"/>
          <w:highlight w:val="none"/>
        </w:rPr>
        <w:t>投标文件</w:t>
      </w:r>
      <w:r>
        <w:rPr>
          <w:rFonts w:hint="eastAsia" w:ascii="宋体" w:hAnsi="宋体" w:cs="宋体"/>
          <w:color w:val="auto"/>
          <w:szCs w:val="21"/>
          <w:highlight w:val="none"/>
          <w:lang w:eastAsia="zh-CN"/>
        </w:rPr>
        <w:t>；</w:t>
      </w:r>
    </w:p>
    <w:p w14:paraId="5BAF1BA0">
      <w:pPr>
        <w:keepNext w:val="0"/>
        <w:keepLines w:val="0"/>
        <w:pageBreakBefore w:val="0"/>
        <w:widowControl w:val="0"/>
        <w:numPr>
          <w:ilvl w:val="0"/>
          <w:numId w:val="3"/>
        </w:numPr>
        <w:kinsoku/>
        <w:wordWrap/>
        <w:overflowPunct/>
        <w:topLinePunct w:val="0"/>
        <w:autoSpaceDE/>
        <w:autoSpaceDN/>
        <w:bidi w:val="0"/>
        <w:adjustRightInd/>
        <w:snapToGrid/>
        <w:spacing w:line="440" w:lineRule="exact"/>
        <w:ind w:left="0" w:leftChars="0" w:firstLine="210" w:firstLineChars="100"/>
        <w:textAlignment w:val="auto"/>
        <w:rPr>
          <w:rFonts w:hint="eastAsia" w:ascii="宋体" w:hAnsi="宋体" w:cs="宋体"/>
          <w:color w:val="auto"/>
          <w:szCs w:val="21"/>
          <w:highlight w:val="none"/>
        </w:rPr>
      </w:pPr>
      <w:r>
        <w:rPr>
          <w:rFonts w:hint="eastAsia" w:ascii="宋体" w:hAnsi="宋体" w:cs="宋体"/>
          <w:color w:val="auto"/>
          <w:szCs w:val="21"/>
          <w:highlight w:val="none"/>
        </w:rPr>
        <w:t>中标通知书</w:t>
      </w:r>
      <w:r>
        <w:rPr>
          <w:rFonts w:hint="eastAsia" w:ascii="宋体" w:hAnsi="宋体" w:cs="宋体"/>
          <w:color w:val="auto"/>
          <w:szCs w:val="21"/>
          <w:highlight w:val="none"/>
          <w:lang w:eastAsia="zh-CN"/>
        </w:rPr>
        <w:t>；</w:t>
      </w:r>
    </w:p>
    <w:p w14:paraId="76CB60AC">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100"/>
        <w:textAlignment w:val="auto"/>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（4）经双方确认进入合同的其它文件、补充条款或说明</w:t>
      </w:r>
      <w:r>
        <w:rPr>
          <w:rFonts w:hint="eastAsia" w:ascii="宋体" w:hAnsi="宋体" w:cs="宋体"/>
          <w:color w:val="auto"/>
          <w:szCs w:val="21"/>
          <w:highlight w:val="none"/>
          <w:lang w:eastAsia="zh-CN"/>
        </w:rPr>
        <w:t>。</w:t>
      </w:r>
    </w:p>
    <w:p w14:paraId="7380FBF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2、采购标的、数量、质量要求</w:t>
      </w:r>
    </w:p>
    <w:p w14:paraId="45D4003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3、合同总价</w:t>
      </w:r>
    </w:p>
    <w:p w14:paraId="35FB883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 xml:space="preserve">合同总价为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元人民币。</w:t>
      </w:r>
      <w:r>
        <w:rPr>
          <w:rFonts w:hint="eastAsia" w:ascii="宋体" w:hAnsi="宋体" w:cs="宋体"/>
          <w:color w:val="auto"/>
          <w:szCs w:val="21"/>
          <w:highlight w:val="none"/>
          <w:lang w:val="en-US" w:eastAsia="zh-CN"/>
        </w:rPr>
        <w:t>本项目为固定总价合同，总价不调整。</w:t>
      </w:r>
    </w:p>
    <w:p w14:paraId="06B27817">
      <w:pPr>
        <w:snapToGrid w:val="0"/>
        <w:spacing w:line="440" w:lineRule="exact"/>
        <w:ind w:firstLine="420" w:firstLineChars="200"/>
        <w:rPr>
          <w:rFonts w:hint="default" w:ascii="宋体" w:hAnsi="宋体" w:cs="宋体"/>
          <w:b/>
          <w:bCs/>
          <w:color w:val="auto"/>
          <w:szCs w:val="21"/>
          <w:highlight w:val="none"/>
          <w:lang w:val="en-US" w:eastAsia="zh-CN"/>
        </w:rPr>
      </w:pPr>
      <w:r>
        <w:rPr>
          <w:rFonts w:hint="eastAsia" w:ascii="宋体" w:hAnsi="宋体" w:cs="宋体"/>
          <w:color w:val="auto"/>
          <w:szCs w:val="21"/>
          <w:highlight w:val="none"/>
        </w:rPr>
        <w:t>付款方式</w:t>
      </w:r>
      <w:r>
        <w:rPr>
          <w:rFonts w:hint="eastAsia" w:ascii="宋体" w:hAnsi="宋体" w:cs="宋体"/>
          <w:b/>
          <w:bCs/>
          <w:color w:val="auto"/>
          <w:szCs w:val="21"/>
          <w:highlight w:val="none"/>
        </w:rPr>
        <w:t>：</w:t>
      </w:r>
      <w:r>
        <w:rPr>
          <w:rFonts w:hint="eastAsia" w:ascii="宋体" w:hAnsi="宋体" w:cs="宋体"/>
          <w:b/>
          <w:bCs/>
          <w:color w:val="auto"/>
          <w:szCs w:val="21"/>
          <w:highlight w:val="none"/>
          <w:lang w:val="en-US" w:eastAsia="zh-CN"/>
        </w:rPr>
        <w:t xml:space="preserve"> </w:t>
      </w:r>
      <w:r>
        <w:rPr>
          <w:rFonts w:hint="eastAsia" w:ascii="宋体" w:hAnsi="宋体" w:cs="宋体"/>
          <w:color w:val="auto"/>
          <w:szCs w:val="21"/>
          <w:highlight w:val="none"/>
          <w:u w:val="single"/>
          <w:lang w:val="en-US" w:eastAsia="zh-CN"/>
        </w:rPr>
        <w:t xml:space="preserve">                                  </w:t>
      </w:r>
    </w:p>
    <w:p w14:paraId="72F2AF81">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cs="宋体"/>
          <w:b/>
          <w:bCs/>
          <w:color w:val="auto"/>
          <w:szCs w:val="21"/>
          <w:highlight w:val="none"/>
        </w:rPr>
      </w:pP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、合同供货期限：</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w:t>
      </w:r>
    </w:p>
    <w:p w14:paraId="3BEF5009">
      <w:pPr>
        <w:keepNext w:val="0"/>
        <w:keepLines w:val="0"/>
        <w:pageBreakBefore w:val="0"/>
        <w:widowControl w:val="0"/>
        <w:kinsoku/>
        <w:wordWrap/>
        <w:overflowPunct/>
        <w:topLinePunct w:val="0"/>
        <w:autoSpaceDE/>
        <w:autoSpaceDN/>
        <w:bidi w:val="0"/>
        <w:adjustRightInd/>
        <w:snapToGrid/>
        <w:spacing w:line="440" w:lineRule="exact"/>
        <w:ind w:left="416" w:leftChars="198"/>
        <w:textAlignment w:val="auto"/>
        <w:rPr>
          <w:rFonts w:hint="eastAsia" w:ascii="宋体" w:hAnsi="宋体" w:cs="宋体"/>
          <w:color w:val="auto"/>
          <w:szCs w:val="21"/>
          <w:highlight w:val="none"/>
        </w:rPr>
      </w:pP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、供货地点：</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lang w:eastAsia="zh-CN"/>
        </w:rPr>
        <w:t>指定地点。</w:t>
      </w:r>
    </w:p>
    <w:p w14:paraId="1AA47148">
      <w:pPr>
        <w:keepNext w:val="0"/>
        <w:keepLines w:val="0"/>
        <w:pageBreakBefore w:val="0"/>
        <w:widowControl w:val="0"/>
        <w:kinsoku/>
        <w:wordWrap/>
        <w:overflowPunct/>
        <w:topLinePunct w:val="0"/>
        <w:autoSpaceDE/>
        <w:autoSpaceDN/>
        <w:bidi w:val="0"/>
        <w:adjustRightInd/>
        <w:snapToGrid/>
        <w:spacing w:line="440" w:lineRule="exact"/>
        <w:ind w:left="420" w:leftChars="200"/>
        <w:textAlignment w:val="auto"/>
        <w:rPr>
          <w:rFonts w:hint="eastAsia" w:ascii="宋体" w:hAnsi="宋体" w:cs="宋体"/>
          <w:b/>
          <w:bCs/>
          <w:color w:val="auto"/>
          <w:szCs w:val="21"/>
          <w:highlight w:val="none"/>
        </w:rPr>
      </w:pP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、验收要求及违约责任</w:t>
      </w:r>
    </w:p>
    <w:p w14:paraId="35A0C85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7、</w:t>
      </w:r>
      <w:r>
        <w:rPr>
          <w:rFonts w:hint="eastAsia" w:ascii="宋体" w:cs="宋体"/>
          <w:color w:val="auto"/>
          <w:szCs w:val="21"/>
          <w:highlight w:val="none"/>
        </w:rPr>
        <w:t>违约责任及解决争议方法</w:t>
      </w:r>
    </w:p>
    <w:p w14:paraId="44747256">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、合同的生效</w:t>
      </w:r>
    </w:p>
    <w:p w14:paraId="1DA0D9D3">
      <w:pPr>
        <w:pStyle w:val="2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cs="宋体"/>
          <w:color w:val="auto"/>
          <w:kern w:val="0"/>
          <w:sz w:val="24"/>
          <w:szCs w:val="24"/>
          <w:highlight w:val="none"/>
          <w:u w:val="none" w:color="000000"/>
        </w:rPr>
      </w:pPr>
      <w:r>
        <w:rPr>
          <w:rFonts w:hint="eastAsia" w:ascii="宋体" w:hAnsi="宋体" w:cs="宋体"/>
          <w:color w:val="auto"/>
          <w:kern w:val="0"/>
          <w:sz w:val="24"/>
          <w:szCs w:val="24"/>
          <w:highlight w:val="none"/>
          <w:u w:val="none" w:color="000000"/>
        </w:rPr>
        <w:t>合同经双方授权代表签署，买卖双方加盖印章之后生效。</w:t>
      </w:r>
    </w:p>
    <w:p w14:paraId="4EDE4459">
      <w:pPr>
        <w:pStyle w:val="2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cs="宋体"/>
          <w:color w:val="auto"/>
          <w:kern w:val="0"/>
          <w:sz w:val="24"/>
          <w:szCs w:val="24"/>
          <w:highlight w:val="none"/>
          <w:u w:val="none" w:color="000000"/>
        </w:rPr>
      </w:pPr>
      <w:r>
        <w:rPr>
          <w:rFonts w:hint="eastAsia" w:ascii="宋体" w:hAnsi="宋体" w:cs="宋体"/>
          <w:color w:val="auto"/>
          <w:kern w:val="0"/>
          <w:sz w:val="24"/>
          <w:szCs w:val="24"/>
          <w:highlight w:val="none"/>
          <w:u w:val="none" w:color="000000"/>
        </w:rPr>
        <w:t>本合同一式     份，双方各执     份。</w:t>
      </w:r>
    </w:p>
    <w:p w14:paraId="19E24699">
      <w:pPr>
        <w:pStyle w:val="2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cs="宋体"/>
          <w:color w:val="auto"/>
          <w:kern w:val="0"/>
          <w:sz w:val="24"/>
          <w:szCs w:val="24"/>
          <w:highlight w:val="none"/>
          <w:u w:val="none" w:color="000000"/>
        </w:rPr>
      </w:pPr>
      <w:r>
        <w:rPr>
          <w:rFonts w:hint="eastAsia" w:ascii="宋体" w:hAnsi="宋体" w:cs="宋体"/>
          <w:color w:val="auto"/>
          <w:kern w:val="0"/>
          <w:sz w:val="24"/>
          <w:szCs w:val="24"/>
          <w:highlight w:val="none"/>
          <w:u w:val="none" w:color="000000"/>
        </w:rPr>
        <w:t>买  方：                          卖  方：</w:t>
      </w:r>
    </w:p>
    <w:p w14:paraId="6D8CBD0C">
      <w:pPr>
        <w:pStyle w:val="2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cs="宋体"/>
          <w:color w:val="auto"/>
          <w:kern w:val="0"/>
          <w:sz w:val="24"/>
          <w:szCs w:val="24"/>
          <w:highlight w:val="none"/>
          <w:u w:val="none" w:color="000000"/>
        </w:rPr>
      </w:pPr>
      <w:r>
        <w:rPr>
          <w:rFonts w:hint="eastAsia" w:ascii="宋体" w:hAnsi="宋体" w:cs="宋体"/>
          <w:color w:val="auto"/>
          <w:kern w:val="0"/>
          <w:sz w:val="24"/>
          <w:szCs w:val="24"/>
          <w:highlight w:val="none"/>
          <w:u w:val="none" w:color="000000"/>
        </w:rPr>
        <w:t>名  称：（盖章）                   名  称：（盖章）</w:t>
      </w:r>
    </w:p>
    <w:p w14:paraId="47CF00C3">
      <w:pPr>
        <w:pStyle w:val="2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cs="宋体"/>
          <w:color w:val="auto"/>
          <w:kern w:val="0"/>
          <w:sz w:val="24"/>
          <w:szCs w:val="24"/>
          <w:highlight w:val="none"/>
          <w:u w:val="none" w:color="000000"/>
        </w:rPr>
      </w:pPr>
      <w:r>
        <w:rPr>
          <w:rFonts w:hint="eastAsia" w:ascii="宋体" w:hAnsi="宋体" w:cs="宋体"/>
          <w:color w:val="auto"/>
          <w:kern w:val="0"/>
          <w:sz w:val="24"/>
          <w:szCs w:val="24"/>
          <w:highlight w:val="none"/>
          <w:u w:val="none" w:color="000000"/>
        </w:rPr>
        <w:t>法定代表人（或委托代理人）：       法定代表人（或委托代理人）：</w:t>
      </w:r>
    </w:p>
    <w:p w14:paraId="185CB280">
      <w:pPr>
        <w:pStyle w:val="2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cs="宋体"/>
          <w:color w:val="auto"/>
          <w:kern w:val="0"/>
          <w:sz w:val="24"/>
          <w:szCs w:val="24"/>
          <w:highlight w:val="none"/>
          <w:u w:val="none" w:color="000000"/>
        </w:rPr>
      </w:pPr>
      <w:r>
        <w:rPr>
          <w:rFonts w:hint="eastAsia" w:ascii="宋体" w:hAnsi="宋体" w:cs="宋体"/>
          <w:color w:val="auto"/>
          <w:kern w:val="0"/>
          <w:sz w:val="24"/>
          <w:szCs w:val="24"/>
          <w:highlight w:val="none"/>
          <w:u w:val="none" w:color="000000"/>
        </w:rPr>
        <w:t>（签字）                        （签字）</w:t>
      </w:r>
    </w:p>
    <w:p w14:paraId="1F765E2A">
      <w:pPr>
        <w:pStyle w:val="2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cs="宋体"/>
          <w:color w:val="auto"/>
          <w:kern w:val="0"/>
          <w:sz w:val="24"/>
          <w:szCs w:val="24"/>
          <w:highlight w:val="none"/>
          <w:u w:val="none" w:color="000000"/>
        </w:rPr>
      </w:pPr>
      <w:r>
        <w:rPr>
          <w:rFonts w:hint="eastAsia" w:ascii="宋体" w:hAnsi="宋体" w:cs="宋体"/>
          <w:color w:val="auto"/>
          <w:kern w:val="0"/>
          <w:sz w:val="24"/>
          <w:szCs w:val="24"/>
          <w:highlight w:val="none"/>
          <w:u w:val="none" w:color="000000"/>
        </w:rPr>
        <w:t>地    址：                        地    址：</w:t>
      </w:r>
    </w:p>
    <w:p w14:paraId="5B8BE0FB">
      <w:pPr>
        <w:pStyle w:val="2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cs="宋体"/>
          <w:color w:val="auto"/>
          <w:kern w:val="0"/>
          <w:sz w:val="24"/>
          <w:szCs w:val="24"/>
          <w:highlight w:val="none"/>
          <w:u w:val="none" w:color="000000"/>
        </w:rPr>
      </w:pPr>
      <w:r>
        <w:rPr>
          <w:rFonts w:hint="eastAsia" w:ascii="宋体" w:hAnsi="宋体" w:cs="宋体"/>
          <w:color w:val="auto"/>
          <w:kern w:val="0"/>
          <w:sz w:val="24"/>
          <w:szCs w:val="24"/>
          <w:highlight w:val="none"/>
          <w:u w:val="none" w:color="000000"/>
        </w:rPr>
        <w:t>邮政编码：                        邮政编码：</w:t>
      </w:r>
    </w:p>
    <w:p w14:paraId="134BE785">
      <w:pPr>
        <w:pStyle w:val="2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cs="宋体"/>
          <w:color w:val="auto"/>
          <w:kern w:val="0"/>
          <w:sz w:val="24"/>
          <w:szCs w:val="24"/>
          <w:highlight w:val="none"/>
          <w:u w:val="none" w:color="000000"/>
        </w:rPr>
      </w:pPr>
      <w:r>
        <w:rPr>
          <w:rFonts w:hint="eastAsia" w:ascii="宋体" w:hAnsi="宋体" w:cs="宋体"/>
          <w:color w:val="auto"/>
          <w:kern w:val="0"/>
          <w:sz w:val="24"/>
          <w:szCs w:val="24"/>
          <w:highlight w:val="none"/>
          <w:u w:val="none" w:color="000000"/>
        </w:rPr>
        <w:t>电    话：                        电    话：</w:t>
      </w:r>
    </w:p>
    <w:p w14:paraId="254BB4C3">
      <w:pPr>
        <w:pStyle w:val="2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cs="宋体"/>
          <w:color w:val="auto"/>
          <w:kern w:val="0"/>
          <w:sz w:val="24"/>
          <w:szCs w:val="24"/>
          <w:highlight w:val="none"/>
          <w:u w:val="none" w:color="000000"/>
        </w:rPr>
      </w:pPr>
      <w:r>
        <w:rPr>
          <w:rFonts w:hint="eastAsia" w:ascii="宋体" w:hAnsi="宋体" w:cs="宋体"/>
          <w:color w:val="auto"/>
          <w:kern w:val="0"/>
          <w:sz w:val="24"/>
          <w:szCs w:val="24"/>
          <w:highlight w:val="none"/>
          <w:u w:val="none" w:color="000000"/>
        </w:rPr>
        <w:t>开户银行：                        开户银行：</w:t>
      </w:r>
    </w:p>
    <w:p w14:paraId="5EBCB62E">
      <w:pPr>
        <w:pStyle w:val="20"/>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cs="宋体"/>
          <w:b/>
          <w:color w:val="auto"/>
          <w:sz w:val="24"/>
          <w:szCs w:val="24"/>
          <w:highlight w:val="none"/>
        </w:rPr>
      </w:pPr>
      <w:r>
        <w:rPr>
          <w:rFonts w:hint="eastAsia" w:ascii="宋体" w:hAnsi="宋体" w:cs="宋体"/>
          <w:color w:val="auto"/>
          <w:kern w:val="0"/>
          <w:sz w:val="24"/>
          <w:szCs w:val="24"/>
          <w:highlight w:val="none"/>
          <w:u w:val="none" w:color="000000"/>
        </w:rPr>
        <w:t>帐    号：                        帐    号：</w:t>
      </w:r>
    </w:p>
    <w:p w14:paraId="63F0462F">
      <w:pPr>
        <w:keepNext w:val="0"/>
        <w:keepLines w:val="0"/>
        <w:pageBreakBefore w:val="0"/>
        <w:widowControl w:val="0"/>
        <w:kinsoku/>
        <w:wordWrap/>
        <w:overflowPunct/>
        <w:topLinePunct w:val="0"/>
        <w:autoSpaceDE/>
        <w:autoSpaceDN/>
        <w:bidi w:val="0"/>
        <w:adjustRightInd/>
        <w:snapToGrid/>
        <w:spacing w:before="162" w:beforeLines="50" w:after="162" w:afterLines="50" w:line="440" w:lineRule="exact"/>
        <w:jc w:val="center"/>
        <w:textAlignment w:val="auto"/>
        <w:outlineLvl w:val="1"/>
        <w:rPr>
          <w:rFonts w:hint="eastAsia" w:ascii="宋体" w:hAnsi="宋体" w:cs="宋体"/>
          <w:b/>
          <w:color w:val="auto"/>
          <w:sz w:val="30"/>
          <w:szCs w:val="30"/>
          <w:highlight w:val="none"/>
        </w:rPr>
      </w:pPr>
      <w:bookmarkStart w:id="102" w:name="_Toc6483"/>
      <w:bookmarkStart w:id="103" w:name="_Toc25817"/>
      <w:r>
        <w:rPr>
          <w:rFonts w:hint="eastAsia" w:ascii="宋体" w:hAnsi="宋体" w:cs="宋体"/>
          <w:b/>
          <w:color w:val="auto"/>
          <w:sz w:val="30"/>
          <w:szCs w:val="30"/>
          <w:highlight w:val="none"/>
        </w:rPr>
        <w:t>二  合同条款</w:t>
      </w:r>
      <w:bookmarkEnd w:id="90"/>
      <w:bookmarkEnd w:id="91"/>
      <w:bookmarkEnd w:id="92"/>
      <w:bookmarkEnd w:id="93"/>
      <w:bookmarkEnd w:id="94"/>
      <w:bookmarkEnd w:id="95"/>
      <w:bookmarkEnd w:id="96"/>
      <w:bookmarkEnd w:id="97"/>
      <w:bookmarkEnd w:id="98"/>
      <w:bookmarkEnd w:id="102"/>
      <w:bookmarkEnd w:id="103"/>
    </w:p>
    <w:p w14:paraId="18E5F417">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一.  合同文件</w:t>
      </w:r>
    </w:p>
    <w:p w14:paraId="4E574F0F">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04" w:name="_Toc26120"/>
      <w:bookmarkStart w:id="105" w:name="_Toc19838"/>
      <w:bookmarkStart w:id="106" w:name="_Toc4800"/>
      <w:r>
        <w:rPr>
          <w:rFonts w:hint="eastAsia" w:ascii="宋体" w:hAnsi="宋体" w:eastAsia="宋体" w:cs="宋体"/>
          <w:color w:val="auto"/>
          <w:szCs w:val="21"/>
          <w:highlight w:val="none"/>
        </w:rPr>
        <w:t>1.合同文件适用法律</w:t>
      </w:r>
      <w:bookmarkEnd w:id="104"/>
      <w:bookmarkEnd w:id="105"/>
      <w:bookmarkEnd w:id="106"/>
    </w:p>
    <w:p w14:paraId="142EA63D">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适用于合同文件的法律是中华人民共和国现行法律、法规及</w:t>
      </w:r>
      <w:r>
        <w:rPr>
          <w:rFonts w:hint="eastAsia" w:ascii="宋体" w:hAnsi="宋体" w:eastAsia="宋体" w:cs="宋体"/>
          <w:color w:val="auto"/>
          <w:szCs w:val="21"/>
          <w:highlight w:val="none"/>
          <w:lang w:eastAsia="zh-CN"/>
        </w:rPr>
        <w:t>招标人</w:t>
      </w:r>
      <w:r>
        <w:rPr>
          <w:rFonts w:hint="eastAsia" w:ascii="宋体" w:hAnsi="宋体" w:eastAsia="宋体" w:cs="宋体"/>
          <w:color w:val="auto"/>
          <w:szCs w:val="21"/>
          <w:highlight w:val="none"/>
        </w:rPr>
        <w:t>所在地的地方性法规。</w:t>
      </w:r>
    </w:p>
    <w:p w14:paraId="718659DF">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07" w:name="_Toc20860"/>
      <w:bookmarkStart w:id="108" w:name="_Toc31798"/>
      <w:bookmarkStart w:id="109" w:name="_Toc19941"/>
      <w:r>
        <w:rPr>
          <w:rFonts w:hint="eastAsia" w:ascii="宋体" w:hAnsi="宋体" w:eastAsia="宋体" w:cs="宋体"/>
          <w:color w:val="auto"/>
          <w:szCs w:val="21"/>
          <w:highlight w:val="none"/>
        </w:rPr>
        <w:t>2.合同文件组成和解释顺序</w:t>
      </w:r>
      <w:bookmarkEnd w:id="107"/>
      <w:bookmarkEnd w:id="108"/>
      <w:bookmarkEnd w:id="109"/>
    </w:p>
    <w:p w14:paraId="71246EAC">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合同文件的组成和解释顺序如下：</w:t>
      </w:r>
    </w:p>
    <w:p w14:paraId="718BE071">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&lt;1&gt;合同的主要条款；</w:t>
      </w:r>
    </w:p>
    <w:p w14:paraId="59325101">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&lt;2&gt;合同的一般性条款；</w:t>
      </w:r>
    </w:p>
    <w:p w14:paraId="67F5ABAD">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&lt;3&gt;洽商、变更等明确双方权利义务的纪要、协议；</w:t>
      </w:r>
    </w:p>
    <w:p w14:paraId="49935C69">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&lt;4&gt;中标通知书、投标文件和招标文件；</w:t>
      </w:r>
    </w:p>
    <w:p w14:paraId="72BAB004">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&lt;5&gt;有关图纸、标准、规范和其它有关技术资料、技术要求。</w:t>
      </w:r>
    </w:p>
    <w:p w14:paraId="47A5FAC9">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&lt;6&gt;合同的主要条款的效力优于合同的一般性条款的效力。</w:t>
      </w:r>
    </w:p>
    <w:p w14:paraId="6014EAB7">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10" w:name="_Toc7488"/>
      <w:bookmarkStart w:id="111" w:name="_Toc25324"/>
      <w:bookmarkStart w:id="112" w:name="_Toc14665"/>
      <w:r>
        <w:rPr>
          <w:rFonts w:hint="eastAsia" w:ascii="宋体" w:hAnsi="宋体" w:eastAsia="宋体" w:cs="宋体"/>
          <w:color w:val="auto"/>
          <w:szCs w:val="21"/>
          <w:highlight w:val="none"/>
        </w:rPr>
        <w:t>3.合同文件使用文字</w:t>
      </w:r>
      <w:bookmarkEnd w:id="110"/>
      <w:bookmarkEnd w:id="111"/>
      <w:bookmarkEnd w:id="112"/>
    </w:p>
    <w:p w14:paraId="61FC3436">
      <w:pPr>
        <w:pStyle w:val="13"/>
        <w:keepNext w:val="0"/>
        <w:keepLines w:val="0"/>
        <w:pageBreakBefore w:val="0"/>
        <w:widowControl w:val="0"/>
        <w:kinsoku/>
        <w:wordWrap/>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1</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合同文件使用中文书写、解释和说明。</w:t>
      </w:r>
    </w:p>
    <w:p w14:paraId="7DAD6BCF">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2</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 xml:space="preserve">合同文件使用技术性条款约定的为国家标准和规范；国家没有相应标准、规范时，可使用行业标准、规范。非标货物应按约定的技术性条款的标准和规范。 </w:t>
      </w:r>
    </w:p>
    <w:p w14:paraId="7E2CAE0E">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二.  标的物的一般条款</w:t>
      </w:r>
    </w:p>
    <w:p w14:paraId="30A29BBB">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13" w:name="_Toc23759"/>
      <w:bookmarkStart w:id="114" w:name="_Toc6561"/>
      <w:bookmarkStart w:id="115" w:name="_Toc25863"/>
      <w:r>
        <w:rPr>
          <w:rFonts w:hint="eastAsia" w:ascii="宋体" w:hAnsi="宋体" w:eastAsia="宋体" w:cs="宋体"/>
          <w:color w:val="auto"/>
          <w:szCs w:val="21"/>
          <w:highlight w:val="none"/>
        </w:rPr>
        <w:t>4.完整物权</w:t>
      </w:r>
      <w:bookmarkEnd w:id="113"/>
      <w:bookmarkEnd w:id="114"/>
      <w:bookmarkEnd w:id="115"/>
    </w:p>
    <w:p w14:paraId="73A82CFF">
      <w:pPr>
        <w:keepNext w:val="0"/>
        <w:keepLines w:val="0"/>
        <w:pageBreakBefore w:val="0"/>
        <w:widowControl w:val="0"/>
        <w:tabs>
          <w:tab w:val="left" w:pos="660"/>
        </w:tabs>
        <w:kinsoku/>
        <w:wordWrap/>
        <w:topLinePunct w:val="0"/>
        <w:autoSpaceDE/>
        <w:autoSpaceDN/>
        <w:bidi w:val="0"/>
        <w:snapToGrid/>
        <w:spacing w:line="44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对于出卖的标的物，卖方应当拥有完整物权，并且卖方负有保证第三人不得向买方主张任何权利（包括知识产权）的义务。</w:t>
      </w:r>
    </w:p>
    <w:p w14:paraId="3A292D1D">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16" w:name="_Toc30888"/>
      <w:bookmarkStart w:id="117" w:name="_Toc32429"/>
      <w:bookmarkStart w:id="118" w:name="_Toc19484"/>
      <w:r>
        <w:rPr>
          <w:rFonts w:hint="eastAsia" w:ascii="宋体" w:hAnsi="宋体" w:eastAsia="宋体" w:cs="宋体"/>
          <w:color w:val="auto"/>
          <w:szCs w:val="21"/>
          <w:highlight w:val="none"/>
        </w:rPr>
        <w:t>5.质量保证</w:t>
      </w:r>
      <w:bookmarkEnd w:id="116"/>
      <w:bookmarkEnd w:id="117"/>
      <w:bookmarkEnd w:id="118"/>
    </w:p>
    <w:p w14:paraId="26B4A06F">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1</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卖方应保证所供标的物是全新的，未使用过的，并且是非长期积压的库存商品，完全符合合同规定的质量、规格和性能的要求，卖方应保证其提供的标的物在正确安装，正常使用和保养条件下，在其标称的使用寿命期内应具有满意的性能。在卖方承诺的质量保证期限内，卖方应对由于设计、工艺或材料的缺陷及伴随服务而造成的任何不足或故障负责。</w:t>
      </w:r>
    </w:p>
    <w:p w14:paraId="511A8E06">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2</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根据买方按检验标准自己检验的结果或当地技监部门的检验结果，或者在质量保证期内，如果标的物的数量、质量或规格与合同不符或证实标的物是有缺陷的，包括潜在缺陷或使用不符合要求的材料等，买方应尽快以书面形式通知卖方并提出索赔。</w:t>
      </w:r>
    </w:p>
    <w:p w14:paraId="54E22576">
      <w:pPr>
        <w:pStyle w:val="13"/>
        <w:keepNext w:val="0"/>
        <w:keepLines w:val="0"/>
        <w:pageBreakBefore w:val="0"/>
        <w:widowControl w:val="0"/>
        <w:tabs>
          <w:tab w:val="left" w:pos="900"/>
        </w:tabs>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3</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除合同主要条款规定外，合同条款中标的物的质量保证期均自标的物通过最终验收之日起计算，且质量保证期按不低于国家标准和卖方承诺的高于国家标准的质保期（卖方有特殊要求的除外）。</w:t>
      </w:r>
    </w:p>
    <w:p w14:paraId="45F4694B">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19" w:name="_Toc31694"/>
      <w:bookmarkStart w:id="120" w:name="_Toc23982"/>
      <w:bookmarkStart w:id="121" w:name="_Toc17808"/>
      <w:r>
        <w:rPr>
          <w:rFonts w:hint="eastAsia" w:ascii="宋体" w:hAnsi="宋体" w:eastAsia="宋体" w:cs="宋体"/>
          <w:color w:val="auto"/>
          <w:szCs w:val="21"/>
          <w:highlight w:val="none"/>
        </w:rPr>
        <w:t>6.包装</w:t>
      </w:r>
      <w:bookmarkEnd w:id="119"/>
      <w:bookmarkEnd w:id="120"/>
      <w:bookmarkEnd w:id="121"/>
    </w:p>
    <w:p w14:paraId="7872596B">
      <w:pPr>
        <w:pStyle w:val="13"/>
        <w:keepNext w:val="0"/>
        <w:keepLines w:val="0"/>
        <w:pageBreakBefore w:val="0"/>
        <w:widowControl w:val="0"/>
        <w:tabs>
          <w:tab w:val="left" w:pos="900"/>
        </w:tabs>
        <w:kinsoku/>
        <w:wordWrap/>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rPr>
        <w:t>卖方应当按照约定的包装方式交付标的物。对包装方式没有约定或者约定不明确的，应当按照双方补充协议约定的方式包装，或者按照通用的方式包装，没有通用方式的，应当采取足以保护标的物的包装方式。</w:t>
      </w:r>
    </w:p>
    <w:p w14:paraId="331AE328">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22" w:name="_Toc29963"/>
      <w:bookmarkStart w:id="123" w:name="_Toc7508"/>
      <w:bookmarkStart w:id="124" w:name="_Toc1679"/>
      <w:r>
        <w:rPr>
          <w:rFonts w:hint="eastAsia" w:ascii="宋体" w:hAnsi="宋体" w:eastAsia="宋体" w:cs="宋体"/>
          <w:color w:val="auto"/>
          <w:szCs w:val="21"/>
          <w:highlight w:val="none"/>
        </w:rPr>
        <w:t>7.伴随服务</w:t>
      </w:r>
      <w:bookmarkEnd w:id="122"/>
      <w:bookmarkEnd w:id="123"/>
      <w:bookmarkEnd w:id="124"/>
    </w:p>
    <w:p w14:paraId="37D36AF1">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1</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卖方除应履行按期按量交付合格标的物的义务之外，还应提供下列服务：</w:t>
      </w:r>
    </w:p>
    <w:p w14:paraId="51B6F200">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rPr>
        <w:t>&lt;1&gt;标的物的现场安装或指导安装、启动、调试、监督（如果必须安装、调试的话）；</w:t>
      </w:r>
    </w:p>
    <w:p w14:paraId="7D21D7CF">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rPr>
        <w:t>&lt;2&gt;提供标的物组装和一般维修所必须的工具；</w:t>
      </w:r>
    </w:p>
    <w:p w14:paraId="565E13C0">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rPr>
        <w:t>&lt;3&gt;在合同规定的期限内对所提供标的物实行运行监督、维修服务的前提条件是该服务并不能免除卖方在质量保证期内所承担的义务；</w:t>
      </w:r>
    </w:p>
    <w:p w14:paraId="4537D002">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rPr>
        <w:t>&lt;4&gt;对买方技术人员的技术指导或培训。</w:t>
      </w:r>
    </w:p>
    <w:p w14:paraId="53B694F8">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2</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除合同另有规定之外，伴随服务的费用均已含在合同价款中，买方不再另行进行支付。</w:t>
      </w:r>
    </w:p>
    <w:p w14:paraId="45DCCBF7">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三.  标的物的交付、检验和验收</w:t>
      </w:r>
    </w:p>
    <w:p w14:paraId="6ABBC6BC">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25" w:name="_Toc18589"/>
      <w:bookmarkStart w:id="126" w:name="_Toc19270"/>
      <w:bookmarkStart w:id="127" w:name="_Toc23390"/>
      <w:r>
        <w:rPr>
          <w:rFonts w:hint="eastAsia" w:ascii="宋体" w:hAnsi="宋体" w:eastAsia="宋体" w:cs="宋体"/>
          <w:color w:val="auto"/>
          <w:szCs w:val="21"/>
          <w:highlight w:val="none"/>
        </w:rPr>
        <w:t>8.标的物的交付</w:t>
      </w:r>
      <w:bookmarkEnd w:id="125"/>
      <w:bookmarkEnd w:id="126"/>
      <w:bookmarkEnd w:id="127"/>
    </w:p>
    <w:p w14:paraId="44EE59A4">
      <w:pPr>
        <w:pStyle w:val="13"/>
        <w:keepNext w:val="0"/>
        <w:keepLines w:val="0"/>
        <w:pageBreakBefore w:val="0"/>
        <w:widowControl w:val="0"/>
        <w:kinsoku/>
        <w:wordWrap/>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1</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标的物的所有权自标的物交付时转移。</w:t>
      </w:r>
    </w:p>
    <w:p w14:paraId="1B9659E2">
      <w:pPr>
        <w:pStyle w:val="13"/>
        <w:keepNext w:val="0"/>
        <w:keepLines w:val="0"/>
        <w:pageBreakBefore w:val="0"/>
        <w:widowControl w:val="0"/>
        <w:kinsoku/>
        <w:wordWrap/>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2</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卖方应当按照约定的期限和约定的地点交付符合招标文件要求的标的物。</w:t>
      </w:r>
    </w:p>
    <w:p w14:paraId="7B959FD4">
      <w:pPr>
        <w:pStyle w:val="13"/>
        <w:keepNext w:val="0"/>
        <w:keepLines w:val="0"/>
        <w:pageBreakBefore w:val="0"/>
        <w:widowControl w:val="0"/>
        <w:kinsoku/>
        <w:wordWrap/>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3</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卖方应当按照约定或者交易习惯向</w:t>
      </w:r>
      <w:r>
        <w:rPr>
          <w:rFonts w:hint="eastAsia" w:ascii="宋体" w:hAnsi="宋体" w:eastAsia="宋体" w:cs="宋体"/>
          <w:color w:val="auto"/>
          <w:sz w:val="21"/>
          <w:szCs w:val="21"/>
          <w:highlight w:val="none"/>
          <w:u w:val="none" w:color="000000"/>
          <w:lang w:eastAsia="zh-CN"/>
        </w:rPr>
        <w:t>招标人</w:t>
      </w:r>
      <w:r>
        <w:rPr>
          <w:rFonts w:hint="eastAsia" w:ascii="宋体" w:hAnsi="宋体" w:eastAsia="宋体" w:cs="宋体"/>
          <w:color w:val="auto"/>
          <w:sz w:val="21"/>
          <w:szCs w:val="21"/>
          <w:highlight w:val="none"/>
          <w:u w:val="none" w:color="000000"/>
        </w:rPr>
        <w:t>交付提取标的物单证以外的有关单证和资料。</w:t>
      </w:r>
    </w:p>
    <w:p w14:paraId="5D1BB2CA">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28" w:name="_Toc1873"/>
      <w:bookmarkStart w:id="129" w:name="_Toc10430"/>
      <w:bookmarkStart w:id="130" w:name="_Toc29221"/>
      <w:r>
        <w:rPr>
          <w:rFonts w:hint="eastAsia" w:ascii="宋体" w:hAnsi="宋体" w:eastAsia="宋体" w:cs="宋体"/>
          <w:color w:val="auto"/>
          <w:szCs w:val="21"/>
          <w:highlight w:val="none"/>
        </w:rPr>
        <w:t>9.检验和验收</w:t>
      </w:r>
      <w:bookmarkEnd w:id="128"/>
      <w:bookmarkEnd w:id="129"/>
      <w:bookmarkEnd w:id="130"/>
    </w:p>
    <w:p w14:paraId="21C64038">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1</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在交货时，卖方应配合买方对标的物的质量、规格、性能、数量等进行详细而全面的检验，并出具一份合格检验证明，合格检验证明作为验收的依据，但不能作为有关标的物质量、规格、数量或性能的最终检验结果。</w:t>
      </w:r>
    </w:p>
    <w:p w14:paraId="0C4A1B3F">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2</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买方根据合同规定的内容和验收标准进行验收</w:t>
      </w:r>
      <w:r>
        <w:rPr>
          <w:rFonts w:hint="eastAsia" w:ascii="宋体" w:hAnsi="宋体" w:eastAsia="宋体" w:cs="宋体"/>
          <w:b/>
          <w:bCs/>
          <w:color w:val="auto"/>
          <w:sz w:val="21"/>
          <w:szCs w:val="21"/>
          <w:highlight w:val="none"/>
          <w:u w:val="none" w:color="000000"/>
          <w:lang w:val="en-US" w:eastAsia="zh-CN"/>
        </w:rPr>
        <w:t>，</w:t>
      </w:r>
      <w:r>
        <w:rPr>
          <w:rFonts w:hint="eastAsia" w:ascii="宋体" w:hAnsi="宋体" w:eastAsia="宋体" w:cs="宋体"/>
          <w:color w:val="auto"/>
          <w:sz w:val="21"/>
          <w:szCs w:val="21"/>
          <w:highlight w:val="none"/>
          <w:u w:val="none" w:color="000000"/>
        </w:rPr>
        <w:t>经检验无误后出具验收合格证明，该证明作为最终付款所需文件的组成部分。</w:t>
      </w:r>
    </w:p>
    <w:p w14:paraId="058FC5CE">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3</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验收期限自标的物交付之日起三十天内。特殊情况需延长的，双方应在合同条款中约定。</w:t>
      </w:r>
    </w:p>
    <w:p w14:paraId="3BB0AB42">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四. 对标的物提出异议的时间和办法</w:t>
      </w:r>
    </w:p>
    <w:p w14:paraId="4F9CBC53">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31" w:name="_Toc7147"/>
      <w:bookmarkStart w:id="132" w:name="_Toc25505"/>
      <w:bookmarkStart w:id="133" w:name="_Toc8853"/>
      <w:r>
        <w:rPr>
          <w:rFonts w:hint="eastAsia" w:ascii="宋体" w:hAnsi="宋体" w:eastAsia="宋体" w:cs="宋体"/>
          <w:color w:val="auto"/>
          <w:szCs w:val="21"/>
          <w:highlight w:val="none"/>
        </w:rPr>
        <w:t>10.对标的物提出异议的时间和办法</w:t>
      </w:r>
      <w:bookmarkEnd w:id="131"/>
      <w:bookmarkEnd w:id="132"/>
      <w:bookmarkEnd w:id="133"/>
      <w:r>
        <w:rPr>
          <w:rFonts w:hint="eastAsia" w:ascii="宋体" w:hAnsi="宋体" w:eastAsia="宋体" w:cs="宋体"/>
          <w:color w:val="auto"/>
          <w:szCs w:val="21"/>
          <w:highlight w:val="none"/>
        </w:rPr>
        <w:t xml:space="preserve"> </w:t>
      </w:r>
    </w:p>
    <w:p w14:paraId="1F486A98">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1</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买方在验收过程中，应当于双方约定的检验期间内将标的物的数量或质量不符合约定的情形及处理方式以书面形式通知卖方。</w:t>
      </w:r>
    </w:p>
    <w:p w14:paraId="5D128700">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2</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如买方在验收期满后既不出具验收合格证明又未提出书面异议的视为卖方所交标的物符合合同规定。</w:t>
      </w:r>
    </w:p>
    <w:p w14:paraId="705D206B">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3</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卖方应在收到买方书面异议后七天内负责处理问题，否则将视为默认买方提出的异议和处理意见。</w:t>
      </w:r>
    </w:p>
    <w:p w14:paraId="1AD040A6">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五. 合同价款和支付</w:t>
      </w:r>
    </w:p>
    <w:p w14:paraId="2F023111">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34" w:name="_Toc15512"/>
      <w:bookmarkStart w:id="135" w:name="_Toc13598"/>
      <w:bookmarkStart w:id="136" w:name="_Toc30366"/>
      <w:r>
        <w:rPr>
          <w:rFonts w:hint="eastAsia" w:ascii="宋体" w:hAnsi="宋体" w:eastAsia="宋体" w:cs="宋体"/>
          <w:color w:val="auto"/>
          <w:szCs w:val="21"/>
          <w:highlight w:val="none"/>
        </w:rPr>
        <w:t>11.合同价款和支付</w:t>
      </w:r>
      <w:bookmarkEnd w:id="134"/>
      <w:bookmarkEnd w:id="135"/>
      <w:bookmarkEnd w:id="136"/>
    </w:p>
    <w:p w14:paraId="6168408F">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1</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本合同的结算货币为人民币，单位元。</w:t>
      </w:r>
    </w:p>
    <w:p w14:paraId="1FC64CC3">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2</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卖方应按照双方签订的合同规定交货并在合同主要条款规定的期限内持下列单据结算货款：</w:t>
      </w:r>
    </w:p>
    <w:p w14:paraId="272E1474">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rPr>
        <w:t>&lt;1&gt;合格的销售发票；</w:t>
      </w:r>
    </w:p>
    <w:p w14:paraId="73E24D7F">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rPr>
        <w:t>&lt;2&gt;买方盖章签收后的送货回单和验收合格证明。</w:t>
      </w:r>
    </w:p>
    <w:p w14:paraId="646DDBB5">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3</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买方应按合同主要条款规定的期限和方式付款。</w:t>
      </w:r>
    </w:p>
    <w:p w14:paraId="7BC483D8">
      <w:pPr>
        <w:pStyle w:val="13"/>
        <w:keepNext w:val="0"/>
        <w:keepLines w:val="0"/>
        <w:pageBreakBefore w:val="0"/>
        <w:widowControl w:val="0"/>
        <w:tabs>
          <w:tab w:val="left" w:pos="540"/>
        </w:tabs>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4</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根据现行税法对买方征收的与本合同有关的一切税费均由买方承担；根据现行税法对卖方征收的与本合同有关的一切税费均由卖方承担。</w:t>
      </w:r>
    </w:p>
    <w:p w14:paraId="55CB96DB">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六. 违约责任</w:t>
      </w:r>
    </w:p>
    <w:p w14:paraId="6D874960">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37" w:name="_Toc5449"/>
      <w:bookmarkStart w:id="138" w:name="_Toc11430"/>
      <w:bookmarkStart w:id="139" w:name="_Toc4339"/>
      <w:r>
        <w:rPr>
          <w:rFonts w:hint="eastAsia" w:ascii="宋体" w:hAnsi="宋体" w:eastAsia="宋体" w:cs="宋体"/>
          <w:color w:val="auto"/>
          <w:szCs w:val="21"/>
          <w:highlight w:val="none"/>
        </w:rPr>
        <w:t>12.违约责任</w:t>
      </w:r>
      <w:bookmarkEnd w:id="137"/>
      <w:bookmarkEnd w:id="138"/>
      <w:bookmarkEnd w:id="139"/>
    </w:p>
    <w:p w14:paraId="41CB8A7C">
      <w:pPr>
        <w:pStyle w:val="13"/>
        <w:keepNext w:val="0"/>
        <w:keepLines w:val="0"/>
        <w:pageBreakBefore w:val="0"/>
        <w:widowControl w:val="0"/>
        <w:kinsoku/>
        <w:wordWrap/>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rPr>
        <w:t>合同一方不履行合同义务或者履行合同义务不符合约定的，应当承担继续履行、采取补救措施或者赔偿损失等违约责任。</w:t>
      </w:r>
    </w:p>
    <w:p w14:paraId="090A4BCE">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40" w:name="_Toc23803"/>
      <w:bookmarkStart w:id="141" w:name="_Toc20420"/>
      <w:bookmarkStart w:id="142" w:name="_Toc16855"/>
      <w:r>
        <w:rPr>
          <w:rFonts w:hint="eastAsia" w:ascii="宋体" w:hAnsi="宋体" w:eastAsia="宋体" w:cs="宋体"/>
          <w:color w:val="auto"/>
          <w:szCs w:val="21"/>
          <w:highlight w:val="none"/>
        </w:rPr>
        <w:t>13.买方违约责任</w:t>
      </w:r>
      <w:bookmarkEnd w:id="140"/>
      <w:bookmarkEnd w:id="141"/>
      <w:bookmarkEnd w:id="142"/>
    </w:p>
    <w:p w14:paraId="7D594C88">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1</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在合同生效后，买方要求退货的，应向卖方偿付合同总价款的5%，作为违约金，违约金不足以补偿损失的，卖方有权要求甲方补足。</w:t>
      </w:r>
    </w:p>
    <w:p w14:paraId="23D2363F">
      <w:pPr>
        <w:pStyle w:val="13"/>
        <w:keepNext w:val="0"/>
        <w:keepLines w:val="0"/>
        <w:pageBreakBefore w:val="0"/>
        <w:widowControl w:val="0"/>
        <w:kinsoku/>
        <w:wordWrap/>
        <w:overflowPunct w:val="0"/>
        <w:topLinePunct w:val="0"/>
        <w:autoSpaceDE/>
        <w:autoSpaceDN/>
        <w:bidi w:val="0"/>
        <w:snapToGrid/>
        <w:spacing w:line="440" w:lineRule="exact"/>
        <w:ind w:left="0" w:leftChars="0" w:right="-334" w:rightChars="-159"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2</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买方逾期付款的应按照逾期付款金额的每天万分之四支付逾期付款违约金。</w:t>
      </w:r>
    </w:p>
    <w:p w14:paraId="67C68DF0">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3</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买方违反合同规定，拒绝接收卖方交付的符合招标文件要求的合格标的物，应当承担卖方由此造成的损失。</w:t>
      </w:r>
    </w:p>
    <w:p w14:paraId="4E32CE13">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43" w:name="_Toc29168"/>
      <w:bookmarkStart w:id="144" w:name="_Toc8254"/>
      <w:bookmarkStart w:id="145" w:name="_Toc32452"/>
      <w:r>
        <w:rPr>
          <w:rFonts w:hint="eastAsia" w:ascii="宋体" w:hAnsi="宋体" w:eastAsia="宋体" w:cs="宋体"/>
          <w:color w:val="auto"/>
          <w:szCs w:val="21"/>
          <w:highlight w:val="none"/>
        </w:rPr>
        <w:t>14.卖方违约责任</w:t>
      </w:r>
      <w:bookmarkEnd w:id="143"/>
      <w:bookmarkEnd w:id="144"/>
      <w:bookmarkEnd w:id="145"/>
    </w:p>
    <w:p w14:paraId="59733313">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1</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卖方不能交货（逾期超过五天视为不能交货），或交货不合格从而影响买方按期正常使用的，应向买方偿付合同总价款5%的违约金，违约金不足以补偿损失的，买方有权要求卖方补足。</w:t>
      </w:r>
    </w:p>
    <w:p w14:paraId="683DEBB5">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2</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卖方逾期交货的，应在发货前与买方和政府采购管理部门协商，买方仍需求的，卖方应立即发货并应按照逾期交货部分货款的每天万分之四支付逾期交货违约金，同时承担买方因此遭致的损失费用。</w:t>
      </w:r>
    </w:p>
    <w:p w14:paraId="760453BD">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46" w:name="_Toc10627"/>
      <w:bookmarkStart w:id="147" w:name="_Toc9471"/>
      <w:bookmarkStart w:id="148" w:name="_Toc9278"/>
      <w:r>
        <w:rPr>
          <w:rFonts w:hint="eastAsia" w:ascii="宋体" w:hAnsi="宋体" w:eastAsia="宋体" w:cs="宋体"/>
          <w:color w:val="auto"/>
          <w:szCs w:val="21"/>
          <w:highlight w:val="none"/>
        </w:rPr>
        <w:t>15.不可抗力</w:t>
      </w:r>
      <w:bookmarkEnd w:id="146"/>
      <w:bookmarkEnd w:id="147"/>
      <w:bookmarkEnd w:id="148"/>
    </w:p>
    <w:p w14:paraId="401A3F4A">
      <w:pPr>
        <w:pStyle w:val="13"/>
        <w:keepNext w:val="0"/>
        <w:keepLines w:val="0"/>
        <w:pageBreakBefore w:val="0"/>
        <w:widowControl w:val="0"/>
        <w:kinsoku/>
        <w:wordWrap/>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1</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因水灾、火灾、地震、战争等不可抗力不能履行合同的，根据不可抗力的影响，部分或者全部免除责任。但合同一方迟延履行后发生不可抗力的，不能免除责任。</w:t>
      </w:r>
    </w:p>
    <w:p w14:paraId="3DFB4EB0">
      <w:pPr>
        <w:pStyle w:val="13"/>
        <w:keepNext w:val="0"/>
        <w:keepLines w:val="0"/>
        <w:pageBreakBefore w:val="0"/>
        <w:widowControl w:val="0"/>
        <w:kinsoku/>
        <w:wordWrap/>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2</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合同一方因不可抗力不能履行合同的，应当及时通知对方，以减轻可能给对方造成的损失，并应当在合理期限内提供证明。</w:t>
      </w:r>
    </w:p>
    <w:p w14:paraId="75F88E99">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七. 索赔</w:t>
      </w:r>
    </w:p>
    <w:p w14:paraId="3328B3F6">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49" w:name="_Toc15011"/>
      <w:bookmarkStart w:id="150" w:name="_Toc29441"/>
      <w:bookmarkStart w:id="151" w:name="_Toc2331"/>
      <w:r>
        <w:rPr>
          <w:rFonts w:hint="eastAsia" w:ascii="宋体" w:hAnsi="宋体" w:eastAsia="宋体" w:cs="宋体"/>
          <w:color w:val="auto"/>
          <w:szCs w:val="21"/>
          <w:highlight w:val="none"/>
        </w:rPr>
        <w:t>16.索赔</w:t>
      </w:r>
      <w:bookmarkEnd w:id="149"/>
      <w:bookmarkEnd w:id="150"/>
      <w:bookmarkEnd w:id="151"/>
    </w:p>
    <w:p w14:paraId="1800BC56">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1</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买方有权根据当地产品质量检验机构或其它有权威部门出具的检验证书向卖方提出索赔。</w:t>
      </w:r>
    </w:p>
    <w:p w14:paraId="6A0A7722">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2</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在本合同规定的检验期和质量保证期内，如果卖方对买方提出的索赔或差异有责任，则卖方应按买方同意的下列一种或多种方式解决索赔事宜：</w:t>
      </w:r>
    </w:p>
    <w:p w14:paraId="4498CE95">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rPr>
        <w:t>&lt;1&gt;卖方同意退货，并按合同规定的货币将货款退还给买方，并承担由此发生的一切损失和费用，包括利息、银行手续费、运费、保险费、检验费、仓储费、装卸费以及为保护退回标的物所需的其它必要费用；</w:t>
      </w:r>
    </w:p>
    <w:p w14:paraId="266FC74A">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rPr>
        <w:t>&lt;2&gt;根据标的物的低劣程度、损坏程度以及甲方遭受损失的数额，经双方协商确定降低标的物的价格；</w:t>
      </w:r>
    </w:p>
    <w:p w14:paraId="3007A98D">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rPr>
        <w:t>&lt;3&gt;用符合规格、质量和性能要求的新零件、部件或标的物来更换有缺陷的部分或修补缺陷部分，卖方应承担一切费用和风险并负担买方所发生的一切直接费用。同时，卖方应按合同规定，相应延长修补或被更换部件或标的物的质量保证期。</w:t>
      </w:r>
    </w:p>
    <w:p w14:paraId="06CF16A8">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3</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如果在买方发出索赔通知后七天内，卖方未能答复，上述索赔应视为已被卖方接受。若卖方未在买方提出索赔通知后七天内或买方同意的更长时间内，按照合同规定的任何一种方法解决索赔事宜，买方将从未付款或卖方开具的履约保证金中扣回索赔金额，如果这些金额不足以补偿索赔金额，买方有权向卖方提出对不足部分的补偿。</w:t>
      </w:r>
    </w:p>
    <w:p w14:paraId="7D2326D7">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4</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买方提出索赔的书面材料应报当地政府采购管理部门备案。卖方同意的索赔方案应报当地政府采购管理部门审核。</w:t>
      </w:r>
    </w:p>
    <w:p w14:paraId="0C9A33D8">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b/>
          <w:color w:val="auto"/>
          <w:szCs w:val="21"/>
          <w:highlight w:val="none"/>
          <w:lang w:eastAsia="zh-CN"/>
        </w:rPr>
      </w:pPr>
      <w:r>
        <w:rPr>
          <w:rFonts w:hint="eastAsia" w:ascii="宋体" w:hAnsi="宋体" w:eastAsia="宋体" w:cs="宋体"/>
          <w:b/>
          <w:color w:val="auto"/>
          <w:szCs w:val="21"/>
          <w:highlight w:val="none"/>
        </w:rPr>
        <w:t>八. 履约保证金</w:t>
      </w:r>
      <w:r>
        <w:rPr>
          <w:rFonts w:hint="eastAsia" w:ascii="宋体" w:hAnsi="宋体" w:eastAsia="宋体" w:cs="宋体"/>
          <w:b/>
          <w:color w:val="auto"/>
          <w:szCs w:val="21"/>
          <w:highlight w:val="none"/>
          <w:lang w:eastAsia="zh-CN"/>
        </w:rPr>
        <w:t>（</w:t>
      </w:r>
      <w:r>
        <w:rPr>
          <w:rFonts w:hint="eastAsia" w:ascii="宋体" w:hAnsi="宋体" w:eastAsia="宋体" w:cs="宋体"/>
          <w:b/>
          <w:color w:val="auto"/>
          <w:szCs w:val="21"/>
          <w:highlight w:val="none"/>
          <w:lang w:val="en-US" w:eastAsia="zh-CN"/>
        </w:rPr>
        <w:t>不采用</w:t>
      </w:r>
      <w:r>
        <w:rPr>
          <w:rFonts w:hint="eastAsia" w:ascii="宋体" w:hAnsi="宋体" w:eastAsia="宋体" w:cs="宋体"/>
          <w:b/>
          <w:color w:val="auto"/>
          <w:szCs w:val="21"/>
          <w:highlight w:val="none"/>
          <w:lang w:eastAsia="zh-CN"/>
        </w:rPr>
        <w:t>）</w:t>
      </w:r>
    </w:p>
    <w:p w14:paraId="1D76E8CE">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52" w:name="_Toc27150"/>
      <w:bookmarkStart w:id="153" w:name="_Toc29033"/>
      <w:bookmarkStart w:id="154" w:name="_Toc18141"/>
      <w:r>
        <w:rPr>
          <w:rFonts w:hint="eastAsia" w:ascii="宋体" w:hAnsi="宋体" w:eastAsia="宋体" w:cs="宋体"/>
          <w:color w:val="auto"/>
          <w:szCs w:val="21"/>
          <w:highlight w:val="none"/>
        </w:rPr>
        <w:t>17.履约保证金</w:t>
      </w:r>
      <w:bookmarkEnd w:id="152"/>
      <w:bookmarkEnd w:id="153"/>
      <w:bookmarkEnd w:id="154"/>
    </w:p>
    <w:p w14:paraId="5DB99EF1">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1</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卖方应在本合同签订时，按招标文件的约定提供相应的履约保证金，保证金的有效期应不低于合同有效期。</w:t>
      </w:r>
    </w:p>
    <w:p w14:paraId="593FE32E">
      <w:pPr>
        <w:pStyle w:val="13"/>
        <w:keepNext w:val="0"/>
        <w:keepLines w:val="0"/>
        <w:pageBreakBefore w:val="0"/>
        <w:widowControl w:val="0"/>
        <w:kinsoku/>
        <w:wordWrap/>
        <w:overflowPunct w:val="0"/>
        <w:topLinePunct w:val="0"/>
        <w:autoSpaceDE/>
        <w:autoSpaceDN/>
        <w:bidi w:val="0"/>
        <w:snapToGrid/>
        <w:spacing w:line="440" w:lineRule="exact"/>
        <w:ind w:left="0" w:leftChars="0" w:right="-334" w:rightChars="-159"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2</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如果卖方未能履行合同规定的任何义务，买方有权从履约保证金中取得补偿。</w:t>
      </w:r>
    </w:p>
    <w:p w14:paraId="17EA3712">
      <w:pPr>
        <w:pStyle w:val="13"/>
        <w:keepNext w:val="0"/>
        <w:keepLines w:val="0"/>
        <w:pageBreakBefore w:val="0"/>
        <w:widowControl w:val="0"/>
        <w:kinsoku/>
        <w:wordWrap/>
        <w:overflowPunct w:val="0"/>
        <w:topLinePunct w:val="0"/>
        <w:autoSpaceDE/>
        <w:autoSpaceDN/>
        <w:bidi w:val="0"/>
        <w:snapToGrid/>
        <w:spacing w:line="440" w:lineRule="exact"/>
        <w:ind w:right="-334" w:rightChars="-159" w:firstLine="0"/>
        <w:jc w:val="left"/>
        <w:rPr>
          <w:rFonts w:hint="eastAsia" w:ascii="宋体" w:hAnsi="宋体" w:eastAsia="宋体" w:cs="宋体"/>
          <w:b/>
          <w:color w:val="auto"/>
          <w:kern w:val="2"/>
          <w:sz w:val="21"/>
          <w:szCs w:val="21"/>
          <w:highlight w:val="none"/>
        </w:rPr>
      </w:pPr>
      <w:r>
        <w:rPr>
          <w:rFonts w:hint="eastAsia" w:ascii="宋体" w:hAnsi="宋体" w:eastAsia="宋体" w:cs="宋体"/>
          <w:b/>
          <w:color w:val="auto"/>
          <w:kern w:val="2"/>
          <w:sz w:val="21"/>
          <w:szCs w:val="21"/>
          <w:highlight w:val="none"/>
        </w:rPr>
        <w:t>九.  合同的解除和转让</w:t>
      </w:r>
    </w:p>
    <w:p w14:paraId="2A545218">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55" w:name="_Toc19401"/>
      <w:bookmarkStart w:id="156" w:name="_Toc14359"/>
      <w:bookmarkStart w:id="157" w:name="_Toc6549"/>
      <w:r>
        <w:rPr>
          <w:rFonts w:hint="eastAsia" w:ascii="宋体" w:hAnsi="宋体" w:eastAsia="宋体" w:cs="宋体"/>
          <w:color w:val="auto"/>
          <w:szCs w:val="21"/>
          <w:highlight w:val="none"/>
        </w:rPr>
        <w:t>18.合同的解除</w:t>
      </w:r>
      <w:bookmarkEnd w:id="155"/>
      <w:bookmarkEnd w:id="156"/>
      <w:bookmarkEnd w:id="157"/>
    </w:p>
    <w:p w14:paraId="7B539A61">
      <w:pPr>
        <w:pStyle w:val="13"/>
        <w:keepNext w:val="0"/>
        <w:keepLines w:val="0"/>
        <w:pageBreakBefore w:val="0"/>
        <w:widowControl w:val="0"/>
        <w:kinsoku/>
        <w:wordWrap/>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1</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买方和卖方协商一致，可以解除合同。</w:t>
      </w:r>
    </w:p>
    <w:p w14:paraId="201569FE">
      <w:pPr>
        <w:pStyle w:val="13"/>
        <w:keepNext w:val="0"/>
        <w:keepLines w:val="0"/>
        <w:pageBreakBefore w:val="0"/>
        <w:widowControl w:val="0"/>
        <w:kinsoku/>
        <w:wordWrap/>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2</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有下列情形之一，合同一方可以解除合同：</w:t>
      </w:r>
    </w:p>
    <w:p w14:paraId="6BB2FB45">
      <w:pPr>
        <w:pStyle w:val="13"/>
        <w:keepNext w:val="0"/>
        <w:keepLines w:val="0"/>
        <w:pageBreakBefore w:val="0"/>
        <w:widowControl w:val="0"/>
        <w:kinsoku/>
        <w:wordWrap/>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rPr>
        <w:t>&lt;1&gt;因不可抗力致使不能实现合同目的，未受不可抗力影响的一方有权解除合同；</w:t>
      </w:r>
    </w:p>
    <w:p w14:paraId="26C4A93E">
      <w:pPr>
        <w:pStyle w:val="13"/>
        <w:keepNext w:val="0"/>
        <w:keepLines w:val="0"/>
        <w:pageBreakBefore w:val="0"/>
        <w:widowControl w:val="0"/>
        <w:kinsoku/>
        <w:wordWrap/>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rPr>
        <w:t>&lt;2&gt;因合同一方违约导致合同不能履行，另一方有权解除合同。</w:t>
      </w:r>
    </w:p>
    <w:p w14:paraId="7FBFBBA8">
      <w:pPr>
        <w:pStyle w:val="13"/>
        <w:keepNext w:val="0"/>
        <w:keepLines w:val="0"/>
        <w:pageBreakBefore w:val="0"/>
        <w:widowControl w:val="0"/>
        <w:kinsoku/>
        <w:wordWrap/>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3</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有权解除合同的一方，应当在违约事实或不可抗力发生之后三十天内书面通知对方以主张解除合同，合同在书面通知到达对方时解除。</w:t>
      </w:r>
    </w:p>
    <w:p w14:paraId="087BFA71">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58" w:name="_Toc19740"/>
      <w:bookmarkStart w:id="159" w:name="_Toc23239"/>
      <w:bookmarkStart w:id="160" w:name="_Toc23775"/>
      <w:r>
        <w:rPr>
          <w:rFonts w:hint="eastAsia" w:ascii="宋体" w:hAnsi="宋体" w:eastAsia="宋体" w:cs="宋体"/>
          <w:color w:val="auto"/>
          <w:szCs w:val="21"/>
          <w:highlight w:val="none"/>
        </w:rPr>
        <w:t>19.合同的转让</w:t>
      </w:r>
      <w:bookmarkEnd w:id="158"/>
      <w:bookmarkEnd w:id="159"/>
      <w:bookmarkEnd w:id="160"/>
    </w:p>
    <w:p w14:paraId="176DADD7">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合同的部分和全部都不得转让。</w:t>
      </w:r>
    </w:p>
    <w:p w14:paraId="73A96C3E">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十. 合同的生效</w:t>
      </w:r>
    </w:p>
    <w:p w14:paraId="56EC9D05">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61" w:name="_Toc30927"/>
      <w:bookmarkStart w:id="162" w:name="_Toc19583"/>
      <w:bookmarkStart w:id="163" w:name="_Toc2193"/>
      <w:r>
        <w:rPr>
          <w:rFonts w:hint="eastAsia" w:ascii="宋体" w:hAnsi="宋体" w:eastAsia="宋体" w:cs="宋体"/>
          <w:color w:val="auto"/>
          <w:szCs w:val="21"/>
          <w:highlight w:val="none"/>
        </w:rPr>
        <w:t>20.合同的生效</w:t>
      </w:r>
      <w:bookmarkEnd w:id="161"/>
      <w:bookmarkEnd w:id="162"/>
      <w:bookmarkEnd w:id="163"/>
    </w:p>
    <w:p w14:paraId="4D7673F6">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本合同在双方签字盖章后生效。</w:t>
      </w:r>
    </w:p>
    <w:p w14:paraId="455F5C62">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十一. 争议解决</w:t>
      </w:r>
    </w:p>
    <w:p w14:paraId="733C3924">
      <w:pPr>
        <w:keepNext w:val="0"/>
        <w:keepLines w:val="0"/>
        <w:pageBreakBefore w:val="0"/>
        <w:widowControl w:val="0"/>
        <w:kinsoku/>
        <w:wordWrap/>
        <w:topLinePunct w:val="0"/>
        <w:autoSpaceDE/>
        <w:autoSpaceDN/>
        <w:bidi w:val="0"/>
        <w:snapToGrid/>
        <w:spacing w:line="440" w:lineRule="exact"/>
        <w:ind w:firstLine="210" w:firstLineChars="100"/>
        <w:jc w:val="left"/>
        <w:outlineLvl w:val="1"/>
        <w:rPr>
          <w:rFonts w:hint="eastAsia" w:ascii="宋体" w:hAnsi="宋体" w:eastAsia="宋体" w:cs="宋体"/>
          <w:color w:val="auto"/>
          <w:szCs w:val="21"/>
          <w:highlight w:val="none"/>
        </w:rPr>
      </w:pPr>
      <w:bookmarkStart w:id="164" w:name="_Toc28701"/>
      <w:bookmarkStart w:id="165" w:name="_Toc9037"/>
      <w:bookmarkStart w:id="166" w:name="_Toc1767"/>
      <w:r>
        <w:rPr>
          <w:rFonts w:hint="eastAsia" w:ascii="宋体" w:hAnsi="宋体" w:eastAsia="宋体" w:cs="宋体"/>
          <w:color w:val="auto"/>
          <w:szCs w:val="21"/>
          <w:highlight w:val="none"/>
        </w:rPr>
        <w:t>21.争议解决</w:t>
      </w:r>
      <w:bookmarkEnd w:id="164"/>
      <w:bookmarkEnd w:id="165"/>
      <w:bookmarkEnd w:id="166"/>
    </w:p>
    <w:p w14:paraId="6B03F75A">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rPr>
        <w:t xml:space="preserve"> 买卖双方因合同发生争议，进行调解，协商不成，可选择：</w:t>
      </w:r>
    </w:p>
    <w:p w14:paraId="4916614C">
      <w:pPr>
        <w:pStyle w:val="13"/>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1</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双方同时申请仲裁；</w:t>
      </w:r>
    </w:p>
    <w:p w14:paraId="5828FEA1">
      <w:pPr>
        <w:pStyle w:val="13"/>
        <w:keepNext w:val="0"/>
        <w:keepLines w:val="0"/>
        <w:pageBreakBefore w:val="0"/>
        <w:widowControl w:val="0"/>
        <w:tabs>
          <w:tab w:val="left" w:pos="900"/>
        </w:tabs>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2</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向买方所在地人民法院提起诉讼。</w:t>
      </w:r>
    </w:p>
    <w:p w14:paraId="5A94AA5C">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十二 .附则</w:t>
      </w:r>
    </w:p>
    <w:p w14:paraId="729F3860">
      <w:pPr>
        <w:keepNext w:val="0"/>
        <w:keepLines w:val="0"/>
        <w:pageBreakBefore w:val="0"/>
        <w:widowControl w:val="0"/>
        <w:kinsoku/>
        <w:wordWrap/>
        <w:topLinePunct w:val="0"/>
        <w:autoSpaceDE/>
        <w:autoSpaceDN/>
        <w:bidi w:val="0"/>
        <w:snapToGrid/>
        <w:spacing w:line="440" w:lineRule="exact"/>
        <w:ind w:firstLine="210" w:firstLineChars="100"/>
        <w:jc w:val="left"/>
        <w:outlineLvl w:val="1"/>
        <w:rPr>
          <w:rFonts w:hint="eastAsia" w:ascii="宋体" w:hAnsi="宋体" w:eastAsia="宋体" w:cs="宋体"/>
          <w:color w:val="auto"/>
          <w:szCs w:val="21"/>
          <w:highlight w:val="none"/>
        </w:rPr>
      </w:pPr>
      <w:bookmarkStart w:id="167" w:name="_Toc30165"/>
      <w:bookmarkStart w:id="168" w:name="_Toc2171"/>
      <w:bookmarkStart w:id="169" w:name="_Toc4325"/>
      <w:r>
        <w:rPr>
          <w:rFonts w:hint="eastAsia" w:ascii="宋体" w:hAnsi="宋体" w:eastAsia="宋体" w:cs="宋体"/>
          <w:color w:val="auto"/>
          <w:szCs w:val="21"/>
          <w:highlight w:val="none"/>
        </w:rPr>
        <w:t>22.合同份数。</w:t>
      </w:r>
      <w:bookmarkEnd w:id="167"/>
      <w:bookmarkEnd w:id="168"/>
      <w:bookmarkEnd w:id="169"/>
    </w:p>
    <w:p w14:paraId="09378F42">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w:t>
      </w:r>
      <w:r>
        <w:rPr>
          <w:rFonts w:hint="eastAsia" w:ascii="宋体" w:hAnsi="宋体" w:cs="宋体"/>
          <w:color w:val="auto"/>
          <w:szCs w:val="21"/>
          <w:highlight w:val="none"/>
        </w:rPr>
        <w:t>本合同一式陆份，买卖双方各执</w:t>
      </w:r>
      <w:r>
        <w:rPr>
          <w:rFonts w:hint="eastAsia" w:ascii="宋体" w:hAnsi="宋体" w:cs="宋体"/>
          <w:color w:val="auto"/>
          <w:szCs w:val="21"/>
          <w:highlight w:val="none"/>
          <w:lang w:val="en-US" w:eastAsia="zh-CN"/>
        </w:rPr>
        <w:t>叁</w:t>
      </w:r>
      <w:r>
        <w:rPr>
          <w:rFonts w:hint="eastAsia" w:ascii="宋体" w:hAnsi="宋体" w:cs="宋体"/>
          <w:color w:val="auto"/>
          <w:szCs w:val="21"/>
          <w:highlight w:val="none"/>
        </w:rPr>
        <w:t>份</w:t>
      </w:r>
      <w:r>
        <w:rPr>
          <w:rFonts w:hint="eastAsia" w:ascii="宋体" w:hAnsi="宋体" w:eastAsia="宋体" w:cs="宋体"/>
          <w:color w:val="auto"/>
          <w:szCs w:val="21"/>
          <w:highlight w:val="none"/>
        </w:rPr>
        <w:t>。</w:t>
      </w:r>
    </w:p>
    <w:p w14:paraId="41BD659F">
      <w:pPr>
        <w:keepNext w:val="0"/>
        <w:keepLines w:val="0"/>
        <w:pageBreakBefore w:val="0"/>
        <w:widowControl w:val="0"/>
        <w:kinsoku/>
        <w:wordWrap/>
        <w:topLinePunct w:val="0"/>
        <w:autoSpaceDE/>
        <w:autoSpaceDN/>
        <w:bidi w:val="0"/>
        <w:snapToGrid/>
        <w:spacing w:line="440" w:lineRule="exact"/>
        <w:ind w:firstLine="210" w:firstLineChars="100"/>
        <w:jc w:val="left"/>
        <w:outlineLvl w:val="1"/>
        <w:rPr>
          <w:rFonts w:hint="eastAsia" w:ascii="宋体" w:hAnsi="宋体" w:eastAsia="宋体" w:cs="宋体"/>
          <w:color w:val="auto"/>
          <w:szCs w:val="21"/>
          <w:highlight w:val="none"/>
        </w:rPr>
      </w:pPr>
      <w:bookmarkStart w:id="170" w:name="_Toc27096"/>
      <w:bookmarkStart w:id="171" w:name="_Toc24952"/>
      <w:bookmarkStart w:id="172" w:name="_Toc8664"/>
      <w:r>
        <w:rPr>
          <w:rFonts w:hint="eastAsia" w:ascii="宋体" w:hAnsi="宋体" w:eastAsia="宋体" w:cs="宋体"/>
          <w:color w:val="auto"/>
          <w:szCs w:val="21"/>
          <w:highlight w:val="none"/>
        </w:rPr>
        <w:t>23.未尽事宜</w:t>
      </w:r>
      <w:bookmarkEnd w:id="170"/>
      <w:bookmarkEnd w:id="171"/>
      <w:bookmarkEnd w:id="172"/>
    </w:p>
    <w:p w14:paraId="6A13515E">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本合同未尽事宜应按《中华人民共和国</w:t>
      </w:r>
      <w:r>
        <w:rPr>
          <w:rFonts w:hint="eastAsia" w:ascii="宋体" w:hAnsi="宋体" w:eastAsia="宋体" w:cs="宋体"/>
          <w:color w:val="auto"/>
          <w:szCs w:val="21"/>
          <w:highlight w:val="none"/>
          <w:lang w:val="en-US" w:eastAsia="zh-CN"/>
        </w:rPr>
        <w:t>招标投标</w:t>
      </w:r>
      <w:r>
        <w:rPr>
          <w:rFonts w:hint="eastAsia" w:ascii="宋体" w:hAnsi="宋体" w:eastAsia="宋体" w:cs="宋体"/>
          <w:color w:val="auto"/>
          <w:szCs w:val="21"/>
          <w:highlight w:val="none"/>
        </w:rPr>
        <w:t>法》、《中华人民共和国民法典》、《中华人民共和国产品质量法》之规定解释。</w:t>
      </w:r>
    </w:p>
    <w:p w14:paraId="0916EA53">
      <w:pPr>
        <w:pStyle w:val="3"/>
        <w:spacing w:before="0" w:after="0"/>
        <w:rPr>
          <w:rFonts w:hint="eastAsia" w:ascii="宋体" w:hAnsi="宋体" w:eastAsia="宋体" w:cs="宋体"/>
          <w:color w:val="auto"/>
          <w:highlight w:val="none"/>
          <w:lang w:val="en-US" w:eastAsia="zh-CN"/>
        </w:rPr>
      </w:pPr>
    </w:p>
    <w:p w14:paraId="3123FA61">
      <w:pPr>
        <w:pStyle w:val="3"/>
        <w:spacing w:before="0" w:after="0"/>
        <w:rPr>
          <w:rFonts w:hint="eastAsia" w:ascii="宋体" w:hAnsi="宋体" w:eastAsia="宋体" w:cs="宋体"/>
          <w:color w:val="auto"/>
          <w:highlight w:val="none"/>
          <w:lang w:val="en-US" w:eastAsia="zh-CN"/>
        </w:rPr>
      </w:pPr>
      <w:bookmarkStart w:id="173" w:name="_Toc22987"/>
    </w:p>
    <w:p w14:paraId="4ABA65A3">
      <w:pPr>
        <w:pStyle w:val="3"/>
        <w:spacing w:before="0" w:after="0"/>
        <w:rPr>
          <w:rFonts w:hint="eastAsia" w:ascii="宋体" w:hAnsi="宋体" w:eastAsia="宋体" w:cs="宋体"/>
          <w:color w:val="auto"/>
          <w:highlight w:val="none"/>
          <w:lang w:val="en-US" w:eastAsia="zh-CN"/>
        </w:rPr>
      </w:pPr>
    </w:p>
    <w:p w14:paraId="6256EA8F">
      <w:pPr>
        <w:pStyle w:val="3"/>
        <w:spacing w:before="0" w:after="0"/>
        <w:rPr>
          <w:rFonts w:hint="eastAsia" w:ascii="宋体" w:hAnsi="宋体" w:eastAsia="宋体" w:cs="宋体"/>
          <w:color w:val="auto"/>
          <w:highlight w:val="none"/>
          <w:lang w:val="en-US" w:eastAsia="zh-CN"/>
        </w:rPr>
      </w:pPr>
    </w:p>
    <w:p w14:paraId="059B2E9C">
      <w:pPr>
        <w:pStyle w:val="3"/>
        <w:spacing w:before="0" w:after="0"/>
        <w:rPr>
          <w:rFonts w:hint="eastAsia" w:ascii="宋体" w:hAnsi="宋体" w:eastAsia="宋体" w:cs="宋体"/>
          <w:color w:val="auto"/>
          <w:highlight w:val="none"/>
          <w:lang w:val="en-US" w:eastAsia="zh-CN"/>
        </w:rPr>
      </w:pPr>
    </w:p>
    <w:p w14:paraId="2F35904E">
      <w:pPr>
        <w:pStyle w:val="3"/>
        <w:spacing w:before="0" w:after="0"/>
        <w:rPr>
          <w:rFonts w:hint="eastAsia" w:ascii="宋体" w:hAnsi="宋体" w:eastAsia="宋体" w:cs="宋体"/>
          <w:color w:val="auto"/>
          <w:highlight w:val="none"/>
          <w:lang w:val="en-US" w:eastAsia="zh-CN"/>
        </w:rPr>
      </w:pPr>
    </w:p>
    <w:p w14:paraId="144D8BAB">
      <w:pPr>
        <w:pStyle w:val="3"/>
        <w:spacing w:before="0" w:after="0"/>
        <w:rPr>
          <w:rFonts w:hint="eastAsia" w:ascii="宋体" w:hAnsi="宋体" w:eastAsia="宋体" w:cs="宋体"/>
          <w:color w:val="auto"/>
          <w:highlight w:val="none"/>
          <w:lang w:val="en-US" w:eastAsia="zh-CN"/>
        </w:rPr>
      </w:pPr>
    </w:p>
    <w:p w14:paraId="20887E34">
      <w:pPr>
        <w:rPr>
          <w:rFonts w:hint="eastAsia" w:ascii="宋体" w:hAnsi="宋体" w:eastAsia="宋体" w:cs="宋体"/>
          <w:color w:val="auto"/>
          <w:highlight w:val="none"/>
          <w:lang w:val="en-US" w:eastAsia="zh-CN"/>
        </w:rPr>
      </w:pPr>
    </w:p>
    <w:p w14:paraId="2BF58923">
      <w:pPr>
        <w:rPr>
          <w:rFonts w:hint="eastAsia" w:ascii="宋体" w:hAnsi="宋体" w:eastAsia="宋体" w:cs="宋体"/>
          <w:color w:val="auto"/>
          <w:highlight w:val="none"/>
          <w:lang w:val="en-US" w:eastAsia="zh-CN"/>
        </w:rPr>
      </w:pPr>
    </w:p>
    <w:p w14:paraId="16B97F1C">
      <w:pPr>
        <w:rPr>
          <w:rFonts w:hint="eastAsia" w:ascii="宋体" w:hAnsi="宋体" w:eastAsia="宋体" w:cs="宋体"/>
          <w:color w:val="auto"/>
          <w:highlight w:val="none"/>
          <w:lang w:val="en-US" w:eastAsia="zh-CN"/>
        </w:rPr>
      </w:pPr>
    </w:p>
    <w:p w14:paraId="04159DF5">
      <w:pPr>
        <w:rPr>
          <w:rFonts w:hint="eastAsia" w:ascii="宋体" w:hAnsi="宋体" w:eastAsia="宋体" w:cs="宋体"/>
          <w:color w:val="auto"/>
          <w:highlight w:val="none"/>
          <w:lang w:val="en-US" w:eastAsia="zh-CN"/>
        </w:rPr>
      </w:pPr>
    </w:p>
    <w:p w14:paraId="7FAC9CD3">
      <w:pPr>
        <w:rPr>
          <w:rFonts w:hint="eastAsia" w:ascii="宋体" w:hAnsi="宋体" w:eastAsia="宋体" w:cs="宋体"/>
          <w:color w:val="auto"/>
          <w:highlight w:val="none"/>
          <w:lang w:val="en-US" w:eastAsia="zh-CN"/>
        </w:rPr>
      </w:pPr>
    </w:p>
    <w:p w14:paraId="0BECD3E6">
      <w:pPr>
        <w:rPr>
          <w:rFonts w:hint="eastAsia" w:ascii="宋体" w:hAnsi="宋体" w:eastAsia="宋体" w:cs="宋体"/>
          <w:color w:val="auto"/>
          <w:highlight w:val="none"/>
          <w:lang w:val="en-US" w:eastAsia="zh-CN"/>
        </w:rPr>
      </w:pPr>
    </w:p>
    <w:p w14:paraId="1125D1F1">
      <w:pPr>
        <w:rPr>
          <w:rFonts w:hint="eastAsia" w:ascii="宋体" w:hAnsi="宋体" w:eastAsia="宋体" w:cs="宋体"/>
          <w:color w:val="auto"/>
          <w:highlight w:val="none"/>
          <w:lang w:val="en-US" w:eastAsia="zh-CN"/>
        </w:rPr>
      </w:pPr>
    </w:p>
    <w:p w14:paraId="042E758A">
      <w:pPr>
        <w:rPr>
          <w:rFonts w:hint="eastAsia" w:ascii="宋体" w:hAnsi="宋体" w:eastAsia="宋体" w:cs="宋体"/>
          <w:color w:val="auto"/>
          <w:highlight w:val="none"/>
          <w:lang w:val="en-US" w:eastAsia="zh-CN"/>
        </w:rPr>
      </w:pPr>
    </w:p>
    <w:p w14:paraId="0AC068DA">
      <w:pPr>
        <w:rPr>
          <w:rFonts w:hint="eastAsia" w:ascii="宋体" w:hAnsi="宋体" w:eastAsia="宋体" w:cs="宋体"/>
          <w:color w:val="auto"/>
          <w:highlight w:val="none"/>
          <w:lang w:val="en-US" w:eastAsia="zh-CN"/>
        </w:rPr>
      </w:pPr>
    </w:p>
    <w:p w14:paraId="1C3A222F">
      <w:pPr>
        <w:rPr>
          <w:rFonts w:hint="eastAsia" w:ascii="宋体" w:hAnsi="宋体" w:eastAsia="宋体" w:cs="宋体"/>
          <w:color w:val="auto"/>
          <w:highlight w:val="none"/>
          <w:lang w:val="en-US" w:eastAsia="zh-CN"/>
        </w:rPr>
      </w:pPr>
    </w:p>
    <w:p w14:paraId="39C05EDB">
      <w:pPr>
        <w:rPr>
          <w:rFonts w:hint="eastAsia" w:ascii="宋体" w:hAnsi="宋体" w:eastAsia="宋体" w:cs="宋体"/>
          <w:color w:val="auto"/>
          <w:highlight w:val="none"/>
          <w:lang w:val="en-US" w:eastAsia="zh-CN"/>
        </w:rPr>
      </w:pPr>
    </w:p>
    <w:p w14:paraId="6C4F510E">
      <w:pPr>
        <w:rPr>
          <w:rFonts w:hint="eastAsia" w:ascii="宋体" w:hAnsi="宋体" w:eastAsia="宋体" w:cs="宋体"/>
          <w:color w:val="auto"/>
          <w:highlight w:val="none"/>
          <w:lang w:val="en-US" w:eastAsia="zh-CN"/>
        </w:rPr>
      </w:pPr>
    </w:p>
    <w:p w14:paraId="44CB11CD">
      <w:pPr>
        <w:rPr>
          <w:rFonts w:hint="eastAsia" w:ascii="宋体" w:hAnsi="宋体" w:eastAsia="宋体" w:cs="宋体"/>
          <w:color w:val="auto"/>
          <w:highlight w:val="none"/>
          <w:lang w:val="en-US" w:eastAsia="zh-CN"/>
        </w:rPr>
      </w:pPr>
    </w:p>
    <w:p w14:paraId="5FAF9FC6">
      <w:pPr>
        <w:rPr>
          <w:rFonts w:hint="eastAsia" w:ascii="宋体" w:hAnsi="宋体" w:eastAsia="宋体" w:cs="宋体"/>
          <w:color w:val="auto"/>
          <w:highlight w:val="none"/>
          <w:lang w:val="en-US" w:eastAsia="zh-CN"/>
        </w:rPr>
      </w:pPr>
    </w:p>
    <w:p w14:paraId="6800F1D1">
      <w:pPr>
        <w:rPr>
          <w:rFonts w:hint="eastAsia" w:ascii="宋体" w:hAnsi="宋体" w:eastAsia="宋体" w:cs="宋体"/>
          <w:color w:val="auto"/>
          <w:highlight w:val="none"/>
          <w:lang w:val="en-US" w:eastAsia="zh-CN"/>
        </w:rPr>
      </w:pPr>
    </w:p>
    <w:p w14:paraId="58E8BA10">
      <w:pPr>
        <w:rPr>
          <w:rFonts w:hint="eastAsia" w:ascii="宋体" w:hAnsi="宋体" w:eastAsia="宋体" w:cs="宋体"/>
          <w:color w:val="auto"/>
          <w:highlight w:val="none"/>
          <w:lang w:val="en-US" w:eastAsia="zh-CN"/>
        </w:rPr>
      </w:pPr>
    </w:p>
    <w:p w14:paraId="6E116394">
      <w:pPr>
        <w:pStyle w:val="48"/>
        <w:rPr>
          <w:rFonts w:hint="eastAsia" w:ascii="宋体" w:hAnsi="宋体" w:eastAsia="宋体" w:cs="宋体"/>
          <w:color w:val="auto"/>
          <w:highlight w:val="none"/>
          <w:lang w:val="en-US" w:eastAsia="zh-CN"/>
        </w:rPr>
      </w:pPr>
    </w:p>
    <w:p w14:paraId="1A7822AD">
      <w:pPr>
        <w:rPr>
          <w:rFonts w:hint="eastAsia"/>
          <w:lang w:val="en-US" w:eastAsia="zh-CN"/>
        </w:rPr>
      </w:pPr>
    </w:p>
    <w:p w14:paraId="4C22060F">
      <w:pPr>
        <w:pStyle w:val="3"/>
        <w:spacing w:before="0" w:after="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第六章投标文件格式</w:t>
      </w:r>
      <w:bookmarkEnd w:id="87"/>
      <w:bookmarkEnd w:id="173"/>
    </w:p>
    <w:p w14:paraId="39ED9576">
      <w:pPr>
        <w:jc w:val="center"/>
        <w:rPr>
          <w:rFonts w:hint="eastAsia" w:ascii="宋体" w:hAnsi="宋体" w:eastAsia="宋体" w:cs="宋体"/>
          <w:color w:val="auto"/>
          <w:sz w:val="20"/>
          <w:szCs w:val="20"/>
          <w:highlight w:val="none"/>
        </w:rPr>
      </w:pP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（项目名称）</w:t>
      </w:r>
    </w:p>
    <w:p w14:paraId="36DBE282">
      <w:pPr>
        <w:jc w:val="center"/>
        <w:rPr>
          <w:rFonts w:hint="eastAsia" w:ascii="宋体" w:hAnsi="宋体" w:eastAsia="宋体" w:cs="宋体"/>
          <w:color w:val="auto"/>
          <w:sz w:val="20"/>
          <w:szCs w:val="20"/>
          <w:highlight w:val="none"/>
        </w:rPr>
      </w:pPr>
    </w:p>
    <w:p w14:paraId="054EA7AB">
      <w:pPr>
        <w:jc w:val="center"/>
        <w:rPr>
          <w:rFonts w:hint="eastAsia" w:ascii="宋体" w:hAnsi="宋体" w:eastAsia="宋体" w:cs="宋体"/>
          <w:color w:val="auto"/>
          <w:sz w:val="20"/>
          <w:szCs w:val="20"/>
          <w:highlight w:val="none"/>
        </w:rPr>
      </w:pPr>
    </w:p>
    <w:p w14:paraId="4F979074">
      <w:pPr>
        <w:jc w:val="center"/>
        <w:rPr>
          <w:rFonts w:hint="eastAsia" w:ascii="宋体" w:hAnsi="宋体" w:eastAsia="宋体" w:cs="宋体"/>
          <w:color w:val="auto"/>
          <w:sz w:val="20"/>
          <w:szCs w:val="20"/>
          <w:highlight w:val="none"/>
        </w:rPr>
      </w:pPr>
    </w:p>
    <w:p w14:paraId="13F88BD6">
      <w:pPr>
        <w:rPr>
          <w:rFonts w:hint="eastAsia" w:ascii="宋体" w:hAnsi="宋体" w:eastAsia="宋体" w:cs="宋体"/>
          <w:color w:val="auto"/>
          <w:sz w:val="20"/>
          <w:szCs w:val="20"/>
          <w:highlight w:val="none"/>
        </w:rPr>
      </w:pPr>
    </w:p>
    <w:p w14:paraId="1B69A9F3">
      <w:pPr>
        <w:jc w:val="center"/>
        <w:rPr>
          <w:rFonts w:hint="eastAsia" w:ascii="宋体" w:hAnsi="宋体" w:eastAsia="宋体" w:cs="宋体"/>
          <w:color w:val="auto"/>
          <w:sz w:val="44"/>
          <w:szCs w:val="44"/>
          <w:highlight w:val="none"/>
          <w:lang w:val="en-US" w:eastAsia="zh-CN"/>
        </w:rPr>
      </w:pPr>
      <w:r>
        <w:rPr>
          <w:rFonts w:hint="eastAsia" w:ascii="宋体" w:hAnsi="宋体" w:eastAsia="宋体" w:cs="宋体"/>
          <w:color w:val="auto"/>
          <w:sz w:val="44"/>
          <w:szCs w:val="44"/>
          <w:highlight w:val="none"/>
          <w:lang w:val="en-US" w:eastAsia="zh-CN"/>
        </w:rPr>
        <w:t>投标文件一</w:t>
      </w:r>
    </w:p>
    <w:p w14:paraId="4FA0C009">
      <w:pPr>
        <w:jc w:val="center"/>
        <w:rPr>
          <w:rFonts w:hint="eastAsia" w:ascii="宋体" w:hAnsi="宋体" w:eastAsia="宋体" w:cs="宋体"/>
          <w:color w:val="auto"/>
          <w:sz w:val="44"/>
          <w:szCs w:val="44"/>
          <w:highlight w:val="none"/>
        </w:rPr>
      </w:pPr>
      <w:r>
        <w:rPr>
          <w:rFonts w:hint="eastAsia" w:ascii="宋体" w:hAnsi="宋体" w:eastAsia="宋体" w:cs="宋体"/>
          <w:color w:val="auto"/>
          <w:sz w:val="44"/>
          <w:szCs w:val="44"/>
          <w:highlight w:val="none"/>
          <w:lang w:val="en-US" w:eastAsia="zh-CN"/>
        </w:rPr>
        <w:t>资格证明材料</w:t>
      </w:r>
      <w:r>
        <w:rPr>
          <w:rFonts w:hint="eastAsia" w:ascii="宋体" w:hAnsi="宋体" w:eastAsia="宋体" w:cs="宋体"/>
          <w:color w:val="auto"/>
          <w:sz w:val="44"/>
          <w:szCs w:val="44"/>
          <w:highlight w:val="none"/>
        </w:rPr>
        <w:t xml:space="preserve"> </w:t>
      </w:r>
    </w:p>
    <w:p w14:paraId="26C5587E">
      <w:pPr>
        <w:jc w:val="center"/>
        <w:rPr>
          <w:rFonts w:hint="eastAsia" w:ascii="宋体" w:hAnsi="宋体" w:eastAsia="宋体" w:cs="宋体"/>
          <w:color w:val="auto"/>
          <w:sz w:val="44"/>
          <w:szCs w:val="44"/>
          <w:highlight w:val="none"/>
        </w:rPr>
      </w:pPr>
    </w:p>
    <w:p w14:paraId="05BFAA20">
      <w:pPr>
        <w:rPr>
          <w:rFonts w:hint="eastAsia" w:ascii="宋体" w:hAnsi="宋体" w:eastAsia="宋体" w:cs="宋体"/>
          <w:color w:val="auto"/>
          <w:sz w:val="28"/>
          <w:szCs w:val="28"/>
          <w:highlight w:val="none"/>
        </w:rPr>
      </w:pPr>
    </w:p>
    <w:p w14:paraId="2F2D5E03">
      <w:pPr>
        <w:rPr>
          <w:rFonts w:hint="eastAsia" w:ascii="宋体" w:hAnsi="宋体" w:eastAsia="宋体" w:cs="宋体"/>
          <w:color w:val="auto"/>
          <w:sz w:val="28"/>
          <w:szCs w:val="28"/>
          <w:highlight w:val="none"/>
        </w:rPr>
      </w:pPr>
    </w:p>
    <w:p w14:paraId="5421C415">
      <w:pPr>
        <w:rPr>
          <w:rFonts w:hint="eastAsia" w:ascii="宋体" w:hAnsi="宋体" w:eastAsia="宋体" w:cs="宋体"/>
          <w:color w:val="auto"/>
          <w:sz w:val="28"/>
          <w:szCs w:val="28"/>
          <w:highlight w:val="none"/>
        </w:rPr>
      </w:pPr>
    </w:p>
    <w:p w14:paraId="3B038DC1">
      <w:pPr>
        <w:rPr>
          <w:rFonts w:hint="eastAsia" w:ascii="宋体" w:hAnsi="宋体" w:eastAsia="宋体" w:cs="宋体"/>
          <w:color w:val="auto"/>
          <w:sz w:val="28"/>
          <w:szCs w:val="28"/>
          <w:highlight w:val="none"/>
        </w:rPr>
      </w:pPr>
    </w:p>
    <w:p w14:paraId="154F26FA">
      <w:pPr>
        <w:rPr>
          <w:rFonts w:hint="eastAsia" w:ascii="宋体" w:hAnsi="宋体" w:eastAsia="宋体" w:cs="宋体"/>
          <w:color w:val="auto"/>
          <w:sz w:val="28"/>
          <w:szCs w:val="28"/>
          <w:highlight w:val="none"/>
        </w:rPr>
      </w:pPr>
    </w:p>
    <w:p w14:paraId="28EAA3C2">
      <w:pPr>
        <w:rPr>
          <w:rFonts w:hint="eastAsia" w:ascii="宋体" w:hAnsi="宋体" w:eastAsia="宋体" w:cs="宋体"/>
          <w:color w:val="auto"/>
          <w:sz w:val="28"/>
          <w:szCs w:val="28"/>
          <w:highlight w:val="none"/>
        </w:rPr>
      </w:pPr>
    </w:p>
    <w:p w14:paraId="31B439BC">
      <w:pPr>
        <w:rPr>
          <w:rFonts w:hint="eastAsia" w:ascii="宋体" w:hAnsi="宋体" w:eastAsia="宋体" w:cs="宋体"/>
          <w:color w:val="auto"/>
          <w:sz w:val="28"/>
          <w:szCs w:val="28"/>
          <w:highlight w:val="none"/>
        </w:rPr>
      </w:pPr>
    </w:p>
    <w:p w14:paraId="3F74875C">
      <w:pPr>
        <w:jc w:val="center"/>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w:t>
      </w:r>
      <w:r>
        <w:rPr>
          <w:rFonts w:hint="eastAsia" w:eastAsia="黑体"/>
          <w:color w:val="000000"/>
          <w:sz w:val="28"/>
          <w:szCs w:val="28"/>
        </w:rPr>
        <w:t>签</w:t>
      </w:r>
      <w:r>
        <w:rPr>
          <w:rFonts w:eastAsia="黑体"/>
          <w:color w:val="000000"/>
          <w:sz w:val="28"/>
          <w:szCs w:val="28"/>
        </w:rPr>
        <w:t>章</w:t>
      </w:r>
      <w:r>
        <w:rPr>
          <w:rFonts w:hint="eastAsia" w:ascii="宋体" w:hAnsi="宋体" w:eastAsia="宋体" w:cs="宋体"/>
          <w:color w:val="auto"/>
          <w:sz w:val="28"/>
          <w:szCs w:val="28"/>
          <w:highlight w:val="none"/>
        </w:rPr>
        <w:t>）</w:t>
      </w:r>
    </w:p>
    <w:p w14:paraId="6AA690A1">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val="en-US" w:eastAsia="zh-CN"/>
        </w:rPr>
        <w:t>或委托代理人</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w:t>
      </w:r>
      <w:r>
        <w:rPr>
          <w:rFonts w:hint="eastAsia" w:eastAsia="黑体"/>
          <w:color w:val="000000"/>
          <w:sz w:val="28"/>
          <w:szCs w:val="28"/>
        </w:rPr>
        <w:t>签</w:t>
      </w:r>
      <w:r>
        <w:rPr>
          <w:rFonts w:eastAsia="黑体"/>
          <w:color w:val="000000"/>
          <w:sz w:val="28"/>
          <w:szCs w:val="28"/>
        </w:rPr>
        <w:t>章</w:t>
      </w:r>
      <w:r>
        <w:rPr>
          <w:rFonts w:hint="eastAsia" w:ascii="宋体" w:hAnsi="宋体" w:eastAsia="宋体" w:cs="宋体"/>
          <w:color w:val="auto"/>
          <w:sz w:val="28"/>
          <w:szCs w:val="28"/>
          <w:highlight w:val="none"/>
        </w:rPr>
        <w:t>）</w:t>
      </w:r>
    </w:p>
    <w:p w14:paraId="411E5BBB">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日</w:t>
      </w:r>
    </w:p>
    <w:p w14:paraId="0E9320FA">
      <w:pP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p>
    <w:p w14:paraId="7245EBD4">
      <w:pPr>
        <w:spacing w:line="480" w:lineRule="auto"/>
        <w:ind w:right="980" w:firstLine="602" w:firstLineChars="200"/>
        <w:jc w:val="center"/>
        <w:rPr>
          <w:rFonts w:ascii="仿宋" w:hAnsi="仿宋" w:eastAsia="仿宋" w:cs="仿宋"/>
          <w:b/>
          <w:bCs/>
          <w:color w:val="auto"/>
          <w:kern w:val="0"/>
          <w:sz w:val="30"/>
          <w:szCs w:val="30"/>
          <w:highlight w:val="none"/>
        </w:rPr>
      </w:pPr>
      <w:r>
        <w:rPr>
          <w:rFonts w:hint="eastAsia" w:ascii="仿宋" w:hAnsi="仿宋" w:eastAsia="仿宋" w:cs="仿宋"/>
          <w:b/>
          <w:bCs/>
          <w:color w:val="auto"/>
          <w:kern w:val="0"/>
          <w:sz w:val="30"/>
          <w:szCs w:val="30"/>
          <w:highlight w:val="none"/>
        </w:rPr>
        <w:t>目录</w:t>
      </w:r>
    </w:p>
    <w:p w14:paraId="58AA69A2">
      <w:pPr>
        <w:pStyle w:val="48"/>
        <w:ind w:left="0" w:leftChars="0" w:firstLine="0" w:firstLineChars="0"/>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（1）法定代表人身份证明和本人身份证(或法定代表人授权委托书和委托代理人身份证)；</w:t>
      </w:r>
    </w:p>
    <w:p w14:paraId="7EA67AEC">
      <w:pPr>
        <w:pStyle w:val="48"/>
        <w:ind w:left="0" w:leftChars="0" w:firstLine="0" w:firstLineChars="0"/>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（2）诚信投标承诺书；</w:t>
      </w:r>
    </w:p>
    <w:p w14:paraId="3E7D4F0D">
      <w:pPr>
        <w:pStyle w:val="48"/>
        <w:ind w:left="0" w:leftChars="0" w:firstLine="0" w:firstLineChars="0"/>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（3）企业法人营业执照；</w:t>
      </w:r>
    </w:p>
    <w:p w14:paraId="680F3686">
      <w:pPr>
        <w:pStyle w:val="48"/>
        <w:ind w:left="0" w:leftChars="0" w:firstLine="0" w:firstLineChars="0"/>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（4）企业资质证书；</w:t>
      </w:r>
    </w:p>
    <w:p w14:paraId="34302265">
      <w:pPr>
        <w:pStyle w:val="48"/>
        <w:ind w:left="0" w:leftChars="0" w:firstLine="0" w:firstLineChars="0"/>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（5）企业安全生产许可证；</w:t>
      </w:r>
    </w:p>
    <w:p w14:paraId="68F2C96E">
      <w:pPr>
        <w:pStyle w:val="48"/>
        <w:ind w:left="0" w:leftChars="0" w:firstLine="0" w:firstLineChars="0"/>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（6）项目负责人建造师（拟任项目经理（建造师））身份证、建造师注册证书以及安全生产考核合格证书（B证）；</w:t>
      </w:r>
    </w:p>
    <w:p w14:paraId="2C6A6962">
      <w:pPr>
        <w:pStyle w:val="48"/>
        <w:ind w:left="0" w:leftChars="0" w:firstLine="0" w:firstLineChars="0"/>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 xml:space="preserve">（7）投标人的法定代表人(或委托代理人)和拟任项目经理（建造师）须持有社保部门出具的本单位为其缴纳的投标前近三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 </w:t>
      </w:r>
    </w:p>
    <w:p w14:paraId="170C333B">
      <w:pPr>
        <w:pStyle w:val="48"/>
        <w:ind w:left="0" w:leftChars="0" w:firstLine="0" w:firstLineChars="0"/>
        <w:rPr>
          <w:rFonts w:hint="default" w:eastAsia="宋体"/>
          <w:color w:val="auto"/>
          <w:highlight w:val="none"/>
          <w:lang w:val="en-US" w:eastAsia="zh-CN"/>
        </w:rPr>
      </w:pPr>
      <w:r>
        <w:rPr>
          <w:rFonts w:hint="eastAsia" w:ascii="宋体" w:hAnsi="宋体" w:cs="宋体"/>
          <w:color w:val="auto"/>
          <w:sz w:val="21"/>
          <w:szCs w:val="21"/>
          <w:highlight w:val="none"/>
          <w:lang w:val="en-US" w:eastAsia="zh-CN"/>
        </w:rPr>
        <w:t>（8）投标人认为需要提供的其他材料。</w:t>
      </w:r>
    </w:p>
    <w:p w14:paraId="02E1898A">
      <w:pPr>
        <w:rPr>
          <w:rFonts w:ascii="仿宋" w:hAnsi="仿宋" w:eastAsia="仿宋" w:cs="仿宋"/>
          <w:b/>
          <w:color w:val="auto"/>
          <w:sz w:val="21"/>
          <w:szCs w:val="21"/>
          <w:highlight w:val="none"/>
        </w:rPr>
      </w:pPr>
      <w:r>
        <w:rPr>
          <w:rFonts w:ascii="仿宋" w:hAnsi="仿宋" w:eastAsia="仿宋" w:cs="仿宋"/>
          <w:b/>
          <w:color w:val="auto"/>
          <w:sz w:val="21"/>
          <w:szCs w:val="21"/>
          <w:highlight w:val="none"/>
        </w:rPr>
        <w:br w:type="page"/>
      </w:r>
    </w:p>
    <w:p w14:paraId="2E77CC68">
      <w:pPr>
        <w:jc w:val="center"/>
        <w:rPr>
          <w:rFonts w:hint="eastAsia" w:ascii="宋体" w:hAnsi="宋体" w:eastAsia="宋体" w:cs="宋体"/>
          <w:color w:val="auto"/>
          <w:sz w:val="32"/>
          <w:szCs w:val="32"/>
          <w:highlight w:val="none"/>
        </w:rPr>
      </w:pPr>
      <w:r>
        <w:rPr>
          <w:rFonts w:hint="eastAsia" w:ascii="宋体" w:hAnsi="宋体" w:eastAsia="宋体" w:cs="宋体"/>
          <w:b/>
          <w:color w:val="auto"/>
          <w:sz w:val="28"/>
          <w:szCs w:val="28"/>
          <w:highlight w:val="none"/>
        </w:rPr>
        <w:t>法定代表人身份证明或授权委托书</w:t>
      </w:r>
    </w:p>
    <w:p w14:paraId="5569495B">
      <w:pPr>
        <w:pStyle w:val="148"/>
        <w:spacing w:beforeLines="100" w:afterLines="100" w:line="480" w:lineRule="exact"/>
        <w:ind w:firstLine="180" w:firstLineChars="75"/>
        <w:rPr>
          <w:rFonts w:hint="eastAsia" w:ascii="宋体" w:hAnsi="宋体" w:eastAsia="宋体" w:cs="宋体"/>
          <w:b/>
          <w:color w:val="auto"/>
          <w:sz w:val="24"/>
          <w:szCs w:val="24"/>
          <w:highlight w:val="none"/>
        </w:rPr>
      </w:pPr>
      <w:bookmarkStart w:id="174" w:name="OLE_LINK13"/>
      <w:r>
        <w:rPr>
          <w:rFonts w:hint="eastAsia" w:ascii="宋体" w:hAnsi="宋体" w:eastAsia="宋体" w:cs="宋体"/>
          <w:color w:val="auto"/>
          <w:sz w:val="24"/>
          <w:szCs w:val="24"/>
          <w:highlight w:val="none"/>
        </w:rPr>
        <w:t>1、法定代表人身份证明</w:t>
      </w:r>
    </w:p>
    <w:p w14:paraId="59B79FC5">
      <w:pPr>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投标人名称：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33DBFB9B">
      <w:pPr>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单位性质：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14A2E9C8">
      <w:pPr>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    址：</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3EE7DBAF">
      <w:pPr>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成立时间：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6F81F381">
      <w:pPr>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经营期限：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07CCD6F7">
      <w:pPr>
        <w:spacing w:line="480" w:lineRule="exact"/>
        <w:ind w:firstLine="1440" w:firstLineChars="200"/>
        <w:rPr>
          <w:rFonts w:hint="eastAsia" w:ascii="宋体" w:hAnsi="宋体" w:eastAsia="宋体" w:cs="宋体"/>
          <w:color w:val="auto"/>
          <w:sz w:val="24"/>
          <w:szCs w:val="24"/>
          <w:highlight w:val="none"/>
        </w:rPr>
      </w:pPr>
      <w:r>
        <w:rPr>
          <w:rFonts w:hint="eastAsia" w:ascii="宋体" w:hAnsi="宋体" w:eastAsia="宋体" w:cs="宋体"/>
          <w:color w:val="auto"/>
          <w:spacing w:val="240"/>
          <w:sz w:val="24"/>
          <w:szCs w:val="24"/>
          <w:highlight w:val="none"/>
        </w:rPr>
        <w:t>姓</w:t>
      </w:r>
      <w:r>
        <w:rPr>
          <w:rFonts w:hint="eastAsia" w:ascii="宋体" w:hAnsi="宋体" w:eastAsia="宋体" w:cs="宋体"/>
          <w:color w:val="auto"/>
          <w:sz w:val="24"/>
          <w:szCs w:val="24"/>
          <w:highlight w:val="none"/>
        </w:rPr>
        <w:t>名：</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性别：</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年龄：＿</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职务：</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_</w:t>
      </w:r>
    </w:p>
    <w:p w14:paraId="6C6E1DD1">
      <w:pPr>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（投标人名称）的法定代表人。</w:t>
      </w:r>
    </w:p>
    <w:p w14:paraId="7781F3EE">
      <w:pPr>
        <w:spacing w:line="480" w:lineRule="exact"/>
        <w:ind w:firstLine="960" w:firstLineChars="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特此证明。</w:t>
      </w:r>
    </w:p>
    <w:p w14:paraId="3DF54F75">
      <w:pPr>
        <w:spacing w:line="360" w:lineRule="auto"/>
        <w:ind w:firstLine="3480" w:firstLineChars="14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eastAsia="黑体"/>
          <w:color w:val="000000"/>
          <w:sz w:val="28"/>
          <w:szCs w:val="28"/>
        </w:rPr>
        <w:t>签</w:t>
      </w:r>
      <w:r>
        <w:rPr>
          <w:rFonts w:eastAsia="黑体"/>
          <w:color w:val="000000"/>
          <w:sz w:val="28"/>
          <w:szCs w:val="28"/>
        </w:rPr>
        <w:t>章</w:t>
      </w:r>
      <w:r>
        <w:rPr>
          <w:rFonts w:hint="eastAsia" w:ascii="宋体" w:hAnsi="宋体" w:eastAsia="宋体" w:cs="宋体"/>
          <w:color w:val="auto"/>
          <w:sz w:val="24"/>
          <w:szCs w:val="24"/>
          <w:highlight w:val="none"/>
        </w:rPr>
        <w:t>）</w:t>
      </w:r>
    </w:p>
    <w:p w14:paraId="4A489CB2">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年    月     日</w:t>
      </w:r>
    </w:p>
    <w:bookmarkEnd w:id="174"/>
    <w:p w14:paraId="5272D18D">
      <w:pPr>
        <w:spacing w:line="48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2、授权委托书</w:t>
      </w:r>
    </w:p>
    <w:p w14:paraId="6EA50EE2">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本授权委托书声明：我</w:t>
      </w:r>
      <w:r>
        <w:rPr>
          <w:rFonts w:hint="eastAsia" w:ascii="宋体" w:hAnsi="宋体" w:eastAsia="宋体" w:cs="宋体"/>
          <w:color w:val="auto"/>
          <w:sz w:val="24"/>
          <w:szCs w:val="24"/>
          <w:highlight w:val="none"/>
          <w:u w:val="single"/>
        </w:rPr>
        <w:t>（姓名）</w:t>
      </w: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（投标人名称）</w:t>
      </w:r>
      <w:r>
        <w:rPr>
          <w:rFonts w:hint="eastAsia" w:ascii="宋体" w:hAnsi="宋体" w:eastAsia="宋体" w:cs="宋体"/>
          <w:color w:val="auto"/>
          <w:sz w:val="24"/>
          <w:szCs w:val="24"/>
          <w:highlight w:val="none"/>
        </w:rPr>
        <w:t>的法定代表人，现授权委托</w:t>
      </w:r>
      <w:r>
        <w:rPr>
          <w:rFonts w:hint="eastAsia" w:ascii="宋体" w:hAnsi="宋体" w:eastAsia="宋体" w:cs="宋体"/>
          <w:color w:val="auto"/>
          <w:sz w:val="24"/>
          <w:szCs w:val="24"/>
          <w:highlight w:val="none"/>
          <w:u w:val="single"/>
        </w:rPr>
        <w:t>（单位名称）</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u w:val="single"/>
        </w:rPr>
        <w:t>（姓名）</w:t>
      </w:r>
      <w:r>
        <w:rPr>
          <w:rFonts w:hint="eastAsia" w:ascii="宋体" w:hAnsi="宋体" w:eastAsia="宋体" w:cs="宋体"/>
          <w:color w:val="auto"/>
          <w:sz w:val="24"/>
          <w:szCs w:val="24"/>
          <w:highlight w:val="none"/>
        </w:rPr>
        <w:t>为我公司法定代表人授权委托代理人，参加</w:t>
      </w:r>
      <w:r>
        <w:rPr>
          <w:rFonts w:hint="eastAsia" w:ascii="宋体" w:hAnsi="宋体" w:eastAsia="宋体" w:cs="宋体"/>
          <w:color w:val="auto"/>
          <w:sz w:val="24"/>
          <w:szCs w:val="24"/>
          <w:highlight w:val="none"/>
          <w:u w:val="single"/>
        </w:rPr>
        <w:t>招标人</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工程的投标活动。代理人在投标、开标、评标、合同谈判过程中所签署的一切文件和处理与之有关的一切事务，我均予以承认。</w:t>
      </w:r>
    </w:p>
    <w:p w14:paraId="1208C27E">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代理人无转委托权，特此委托。</w:t>
      </w:r>
    </w:p>
    <w:p w14:paraId="7DE994A1">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附：法定代表人及授权委托人有效身份证复印件</w:t>
      </w:r>
    </w:p>
    <w:p w14:paraId="5FED9BBF">
      <w:pPr>
        <w:spacing w:line="480" w:lineRule="auto"/>
        <w:ind w:right="24" w:firstLine="4560" w:firstLineChars="19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授权代理人：</w:t>
      </w:r>
      <w:r>
        <w:rPr>
          <w:rFonts w:hint="eastAsia" w:ascii="宋体" w:hAnsi="宋体" w:eastAsia="宋体" w:cs="宋体"/>
          <w:color w:val="auto"/>
          <w:sz w:val="24"/>
          <w:szCs w:val="24"/>
          <w:highlight w:val="none"/>
          <w:u w:val="single"/>
        </w:rPr>
        <w:t>（签字或签章）</w:t>
      </w:r>
    </w:p>
    <w:p w14:paraId="0AFC90F8">
      <w:pPr>
        <w:spacing w:line="480" w:lineRule="auto"/>
        <w:ind w:firstLine="5040" w:firstLineChars="2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w:t>
      </w:r>
      <w:r>
        <w:rPr>
          <w:rFonts w:hint="eastAsia" w:ascii="宋体" w:hAnsi="宋体" w:eastAsia="宋体" w:cs="宋体"/>
          <w:color w:val="auto"/>
          <w:sz w:val="24"/>
          <w:szCs w:val="24"/>
          <w:highlight w:val="none"/>
          <w:u w:val="single"/>
        </w:rPr>
        <w:t>（签章）</w:t>
      </w:r>
    </w:p>
    <w:p w14:paraId="478E5304">
      <w:pPr>
        <w:spacing w:line="480" w:lineRule="auto"/>
        <w:ind w:right="204" w:firstLine="4560" w:firstLineChars="19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w:t>
      </w:r>
      <w:r>
        <w:rPr>
          <w:rFonts w:hint="eastAsia" w:ascii="宋体" w:hAnsi="宋体" w:eastAsia="宋体" w:cs="宋体"/>
          <w:color w:val="auto"/>
          <w:sz w:val="24"/>
          <w:szCs w:val="24"/>
          <w:highlight w:val="none"/>
          <w:u w:val="single"/>
        </w:rPr>
        <w:t>（签字或签章）</w:t>
      </w:r>
    </w:p>
    <w:p w14:paraId="7C7C774D">
      <w:pPr>
        <w:spacing w:line="480" w:lineRule="auto"/>
        <w:ind w:right="980" w:firstLine="480" w:firstLineChars="200"/>
        <w:jc w:val="center"/>
        <w:rPr>
          <w:rFonts w:hint="eastAsia" w:ascii="宋体" w:hAnsi="宋体" w:eastAsia="宋体" w:cs="宋体"/>
          <w:b/>
          <w:bCs/>
          <w:color w:val="auto"/>
          <w:kern w:val="0"/>
          <w:sz w:val="24"/>
          <w:szCs w:val="24"/>
          <w:highlight w:val="none"/>
        </w:rPr>
      </w:pPr>
      <w:r>
        <w:rPr>
          <w:rFonts w:hint="eastAsia" w:ascii="宋体" w:hAnsi="宋体" w:eastAsia="宋体" w:cs="宋体"/>
          <w:color w:val="auto"/>
          <w:sz w:val="24"/>
          <w:szCs w:val="24"/>
          <w:highlight w:val="none"/>
        </w:rPr>
        <w:t xml:space="preserve">                       日期：</w:t>
      </w:r>
      <w:r>
        <w:rPr>
          <w:rFonts w:hint="eastAsia" w:ascii="宋体" w:hAnsi="宋体" w:eastAsia="宋体" w:cs="宋体"/>
          <w:color w:val="auto"/>
          <w:sz w:val="24"/>
          <w:szCs w:val="24"/>
          <w:highlight w:val="none"/>
          <w:u w:val="single"/>
        </w:rPr>
        <w:t>年月日</w:t>
      </w:r>
    </w:p>
    <w:p w14:paraId="28AD9C4C">
      <w:pPr>
        <w:rPr>
          <w:rFonts w:hint="eastAsia" w:ascii="宋体" w:hAnsi="宋体" w:eastAsia="宋体" w:cs="宋体"/>
          <w:b/>
          <w:color w:val="auto"/>
          <w:sz w:val="28"/>
          <w:szCs w:val="28"/>
          <w:highlight w:val="none"/>
        </w:rPr>
      </w:pPr>
      <w:r>
        <w:rPr>
          <w:rFonts w:hint="eastAsia" w:ascii="宋体" w:hAnsi="宋体" w:eastAsia="宋体" w:cs="宋体"/>
          <w:b/>
          <w:bCs/>
          <w:color w:val="auto"/>
          <w:kern w:val="0"/>
          <w:sz w:val="30"/>
          <w:szCs w:val="30"/>
          <w:highlight w:val="none"/>
        </w:rPr>
        <w:br w:type="page"/>
      </w:r>
    </w:p>
    <w:p w14:paraId="4EF5713F">
      <w:pPr>
        <w:jc w:val="center"/>
        <w:rPr>
          <w:rFonts w:ascii="仿宋" w:hAnsi="仿宋" w:eastAsia="仿宋" w:cs="仿宋"/>
          <w:color w:val="auto"/>
          <w:sz w:val="28"/>
          <w:szCs w:val="28"/>
          <w:highlight w:val="none"/>
          <w:u w:val="single"/>
        </w:rPr>
      </w:pPr>
    </w:p>
    <w:p w14:paraId="22A44922">
      <w:pPr>
        <w:adjustRightInd w:val="0"/>
        <w:snapToGrid w:val="0"/>
        <w:spacing w:line="360" w:lineRule="auto"/>
        <w:jc w:val="center"/>
        <w:rPr>
          <w:rFonts w:hint="eastAsia" w:ascii="宋体" w:hAnsi="宋体" w:cs="宋体"/>
          <w:b/>
          <w:sz w:val="28"/>
          <w:szCs w:val="28"/>
        </w:rPr>
      </w:pPr>
      <w:r>
        <w:rPr>
          <w:rFonts w:hint="eastAsia" w:ascii="宋体" w:hAnsi="宋体" w:cs="宋体"/>
          <w:b/>
          <w:sz w:val="28"/>
          <w:szCs w:val="28"/>
        </w:rPr>
        <w:t xml:space="preserve"> </w:t>
      </w:r>
    </w:p>
    <w:p w14:paraId="39E39A81">
      <w:pPr>
        <w:adjustRightInd w:val="0"/>
        <w:snapToGrid w:val="0"/>
        <w:spacing w:line="360" w:lineRule="auto"/>
        <w:jc w:val="center"/>
        <w:rPr>
          <w:rFonts w:hint="eastAsia"/>
          <w:b/>
          <w:sz w:val="28"/>
          <w:szCs w:val="28"/>
        </w:rPr>
      </w:pPr>
      <w:r>
        <w:rPr>
          <w:rFonts w:hint="eastAsia" w:ascii="宋体" w:hAnsi="宋体" w:cs="宋体"/>
          <w:b/>
          <w:sz w:val="28"/>
          <w:szCs w:val="28"/>
        </w:rPr>
        <w:t>（2）</w:t>
      </w:r>
      <w:r>
        <w:rPr>
          <w:rFonts w:hint="eastAsia"/>
          <w:b/>
          <w:sz w:val="28"/>
          <w:szCs w:val="28"/>
        </w:rPr>
        <w:t>诚信投标承诺书  </w:t>
      </w:r>
    </w:p>
    <w:p w14:paraId="1A92C53D">
      <w:pPr>
        <w:kinsoku/>
        <w:overflowPunct/>
        <w:bidi w:val="0"/>
        <w:adjustRightInd w:val="0"/>
        <w:snapToGrid w:val="0"/>
        <w:spacing w:line="440" w:lineRule="exact"/>
        <w:ind w:firstLine="420" w:firstLineChars="200"/>
        <w:rPr>
          <w:rFonts w:ascii="宋体" w:hAnsi="宋体"/>
          <w:color w:val="000000"/>
          <w:szCs w:val="21"/>
        </w:rPr>
      </w:pPr>
      <w:r>
        <w:rPr>
          <w:rFonts w:hint="eastAsia" w:ascii="宋体" w:hAnsi="宋体"/>
          <w:color w:val="000000"/>
          <w:szCs w:val="21"/>
        </w:rPr>
        <w:t>本人以企业法定代表人的身份郑重承诺：</w:t>
      </w:r>
    </w:p>
    <w:p w14:paraId="39B95ED4">
      <w:pPr>
        <w:kinsoku/>
        <w:overflowPunct/>
        <w:bidi w:val="0"/>
        <w:adjustRightInd w:val="0"/>
        <w:snapToGrid w:val="0"/>
        <w:spacing w:line="440" w:lineRule="exact"/>
        <w:ind w:firstLine="420" w:firstLineChars="200"/>
        <w:rPr>
          <w:rFonts w:ascii="宋体" w:hAnsi="宋体"/>
          <w:color w:val="000000"/>
          <w:szCs w:val="21"/>
        </w:rPr>
      </w:pPr>
      <w:r>
        <w:rPr>
          <w:rFonts w:hint="eastAsia" w:ascii="宋体" w:hAnsi="宋体"/>
          <w:color w:val="000000"/>
          <w:szCs w:val="21"/>
        </w:rPr>
        <w:t>一、将遵循公</w:t>
      </w:r>
      <w:bookmarkStart w:id="175" w:name="_Toc506107356"/>
      <w:bookmarkStart w:id="176" w:name="_Toc503196197"/>
      <w:bookmarkStart w:id="177" w:name="_Toc26598"/>
      <w:r>
        <w:rPr>
          <w:rFonts w:hint="eastAsia" w:ascii="宋体" w:hAnsi="宋体"/>
          <w:color w:val="000000"/>
          <w:szCs w:val="21"/>
        </w:rPr>
        <w:t>开、公正和诚实信用</w:t>
      </w:r>
      <w:bookmarkEnd w:id="175"/>
      <w:bookmarkEnd w:id="176"/>
      <w:r>
        <w:rPr>
          <w:rFonts w:hint="eastAsia" w:ascii="宋体" w:hAnsi="宋体"/>
          <w:color w:val="000000"/>
          <w:szCs w:val="21"/>
        </w:rPr>
        <w:t>的</w:t>
      </w:r>
      <w:bookmarkEnd w:id="177"/>
      <w:r>
        <w:rPr>
          <w:rFonts w:hint="eastAsia" w:ascii="宋体" w:hAnsi="宋体"/>
          <w:color w:val="000000"/>
          <w:szCs w:val="21"/>
        </w:rPr>
        <w:t>原则自愿参加</w:t>
      </w:r>
      <w:r>
        <w:rPr>
          <w:rFonts w:hint="eastAsia" w:ascii="宋体" w:hAnsi="宋体"/>
          <w:color w:val="000000"/>
          <w:szCs w:val="21"/>
          <w:u w:val="single"/>
        </w:rPr>
        <w:t xml:space="preserve">                     （项目名称）</w:t>
      </w:r>
      <w:r>
        <w:rPr>
          <w:rFonts w:hint="eastAsia" w:ascii="宋体" w:hAnsi="宋体"/>
          <w:color w:val="000000"/>
          <w:szCs w:val="21"/>
        </w:rPr>
        <w:t>项目的投标；</w:t>
      </w:r>
    </w:p>
    <w:p w14:paraId="28C0FBDB">
      <w:pPr>
        <w:kinsoku/>
        <w:overflowPunct/>
        <w:bidi w:val="0"/>
        <w:adjustRightInd w:val="0"/>
        <w:snapToGrid w:val="0"/>
        <w:spacing w:line="440" w:lineRule="exact"/>
        <w:ind w:firstLine="420" w:firstLineChars="200"/>
        <w:rPr>
          <w:rFonts w:ascii="宋体" w:hAnsi="宋体"/>
          <w:color w:val="000000"/>
          <w:szCs w:val="21"/>
        </w:rPr>
      </w:pPr>
      <w:r>
        <w:rPr>
          <w:rFonts w:hint="eastAsia" w:ascii="宋体" w:hAnsi="宋体"/>
          <w:color w:val="000000"/>
          <w:szCs w:val="21"/>
        </w:rPr>
        <w:t>二、所提供的一切材料都是真实、合法的；</w:t>
      </w:r>
    </w:p>
    <w:p w14:paraId="66AB9F37">
      <w:pPr>
        <w:kinsoku/>
        <w:overflowPunct/>
        <w:bidi w:val="0"/>
        <w:adjustRightInd w:val="0"/>
        <w:snapToGrid w:val="0"/>
        <w:spacing w:line="440" w:lineRule="exact"/>
        <w:ind w:firstLine="420" w:firstLineChars="200"/>
        <w:rPr>
          <w:rFonts w:ascii="宋体" w:hAnsi="宋体"/>
          <w:color w:val="000000"/>
          <w:szCs w:val="21"/>
        </w:rPr>
      </w:pPr>
      <w:r>
        <w:rPr>
          <w:rFonts w:hint="eastAsia" w:ascii="宋体" w:hAnsi="宋体"/>
          <w:color w:val="000000"/>
          <w:szCs w:val="21"/>
        </w:rPr>
        <w:t>三、不出借、转让资质证书，不让他人挂靠投标，不以他人名义投标或者以其他方式弄虚作假，骗取中标；</w:t>
      </w:r>
    </w:p>
    <w:p w14:paraId="3687C22E">
      <w:pPr>
        <w:kinsoku/>
        <w:overflowPunct/>
        <w:bidi w:val="0"/>
        <w:adjustRightInd w:val="0"/>
        <w:snapToGrid w:val="0"/>
        <w:spacing w:line="440" w:lineRule="exact"/>
        <w:ind w:firstLine="420" w:firstLineChars="200"/>
        <w:rPr>
          <w:rFonts w:ascii="宋体" w:hAnsi="宋体"/>
          <w:color w:val="000000"/>
          <w:szCs w:val="21"/>
        </w:rPr>
      </w:pPr>
      <w:r>
        <w:rPr>
          <w:rFonts w:hint="eastAsia" w:ascii="宋体" w:hAnsi="宋体"/>
          <w:color w:val="000000"/>
          <w:szCs w:val="21"/>
        </w:rPr>
        <w:t>四、不与其他投标人相互串通投标报价，不排挤其他投标人的公平竞争、损害招标人的合法权益；</w:t>
      </w:r>
    </w:p>
    <w:p w14:paraId="47190C0F">
      <w:pPr>
        <w:kinsoku/>
        <w:overflowPunct/>
        <w:bidi w:val="0"/>
        <w:adjustRightInd w:val="0"/>
        <w:snapToGrid w:val="0"/>
        <w:spacing w:line="440" w:lineRule="exact"/>
        <w:ind w:firstLine="420" w:firstLineChars="200"/>
        <w:rPr>
          <w:rFonts w:hint="eastAsia" w:ascii="宋体" w:hAnsi="宋体"/>
          <w:color w:val="000000"/>
          <w:szCs w:val="21"/>
        </w:rPr>
      </w:pPr>
      <w:r>
        <w:rPr>
          <w:rFonts w:hint="eastAsia" w:ascii="宋体" w:hAnsi="宋体"/>
          <w:color w:val="000000"/>
          <w:szCs w:val="21"/>
        </w:rPr>
        <w:t>五、不与招标人、招标代理机构或其他投标人串通投标，损害国家利益、社会公共利益或者他人的合法权益；</w:t>
      </w:r>
    </w:p>
    <w:p w14:paraId="5C05A1EB">
      <w:pPr>
        <w:kinsoku/>
        <w:overflowPunct/>
        <w:bidi w:val="0"/>
        <w:adjustRightInd w:val="0"/>
        <w:snapToGrid w:val="0"/>
        <w:spacing w:line="440" w:lineRule="exact"/>
        <w:ind w:firstLine="420" w:firstLineChars="200"/>
        <w:rPr>
          <w:rFonts w:hint="eastAsia" w:ascii="宋体" w:hAnsi="宋体"/>
          <w:color w:val="000000"/>
          <w:szCs w:val="21"/>
        </w:rPr>
      </w:pPr>
      <w:r>
        <w:rPr>
          <w:rFonts w:hint="eastAsia" w:ascii="宋体" w:hAnsi="宋体"/>
          <w:color w:val="000000"/>
          <w:szCs w:val="21"/>
        </w:rPr>
        <w:t>六、</w:t>
      </w:r>
      <w:r>
        <w:rPr>
          <w:rFonts w:hint="eastAsia" w:ascii="宋体" w:hAnsi="宋体"/>
          <w:color w:val="000000"/>
          <w:szCs w:val="21"/>
          <w:u w:val="single"/>
        </w:rPr>
        <w:t xml:space="preserve">              </w:t>
      </w:r>
      <w:r>
        <w:rPr>
          <w:rFonts w:hint="eastAsia" w:ascii="宋体" w:hAnsi="宋体"/>
          <w:color w:val="000000"/>
          <w:szCs w:val="21"/>
        </w:rPr>
        <w:t>没有下列情形： 1、被人民法院列入失信被执行人的；2、我公司及其法定代表人、拟任项目经理（建造师）前三年有行贿犯罪行为的；3、被市场监督管理部门列入经营异常名录或者严重违法企业名单的，且未被移除的；4、被税务部门列入重大税收违法案件当事人的；5、在“信用中国”网站上披露仍在公示期的严重失信行为的；6、被滁州市县两级各行业主管部门及公管部门取消在一定期限内的投标资格且在取消期限内的；7、被人力资源社会保障主管部门列入拖欠农民工工资‘黑名单’或因拖欠农民工工资被县级及以上有关行政主管部门限制投标资格且在限制期限内的；8、</w:t>
      </w:r>
      <w:r>
        <w:rPr>
          <w:rFonts w:hint="eastAsia"/>
          <w:color w:val="000000"/>
          <w:szCs w:val="21"/>
        </w:rPr>
        <w:t>被列入省级、市级农民工工资支付异常名录的施工企业，限制其参加全市范围项目投标；列入县级异常名录的施工企业，限制其参加本行政区域内项目投标。（若招标文件对投标人所属分公司、办事处等分支机构有上述1-8项信誉要求，在此一并承诺我公司所属分公司、办事处等分支机构没有上述1-8项情形）</w:t>
      </w:r>
    </w:p>
    <w:p w14:paraId="7231D4D3">
      <w:pPr>
        <w:kinsoku/>
        <w:overflowPunct/>
        <w:bidi w:val="0"/>
        <w:adjustRightInd w:val="0"/>
        <w:snapToGrid w:val="0"/>
        <w:spacing w:line="440" w:lineRule="exact"/>
        <w:ind w:firstLine="420" w:firstLineChars="200"/>
        <w:rPr>
          <w:rFonts w:ascii="宋体" w:hAnsi="宋体"/>
          <w:color w:val="000000"/>
          <w:szCs w:val="21"/>
        </w:rPr>
      </w:pPr>
      <w:r>
        <w:rPr>
          <w:rFonts w:hint="eastAsia" w:ascii="宋体" w:hAnsi="宋体"/>
          <w:color w:val="000000"/>
          <w:szCs w:val="21"/>
        </w:rPr>
        <w:t>七、严格遵守开标现场纪律，服从监管人员管理；</w:t>
      </w:r>
    </w:p>
    <w:p w14:paraId="2E05E5FF">
      <w:pPr>
        <w:kinsoku/>
        <w:overflowPunct/>
        <w:bidi w:val="0"/>
        <w:adjustRightInd w:val="0"/>
        <w:snapToGrid w:val="0"/>
        <w:spacing w:line="440" w:lineRule="exact"/>
        <w:ind w:firstLine="420" w:firstLineChars="200"/>
        <w:rPr>
          <w:rFonts w:ascii="宋体" w:hAnsi="宋体"/>
          <w:color w:val="000000"/>
          <w:szCs w:val="21"/>
        </w:rPr>
      </w:pPr>
      <w:r>
        <w:rPr>
          <w:rFonts w:hint="eastAsia" w:ascii="宋体" w:hAnsi="宋体"/>
          <w:color w:val="000000"/>
          <w:szCs w:val="21"/>
        </w:rPr>
        <w:t>八、保证中标后不转包及使用挂靠施工队伍，若有分包征得建设单位同意；</w:t>
      </w:r>
    </w:p>
    <w:p w14:paraId="28D7B5F0">
      <w:pPr>
        <w:kinsoku/>
        <w:overflowPunct/>
        <w:bidi w:val="0"/>
        <w:adjustRightInd w:val="0"/>
        <w:snapToGrid w:val="0"/>
        <w:spacing w:line="440" w:lineRule="exact"/>
        <w:ind w:firstLine="420" w:firstLineChars="200"/>
        <w:rPr>
          <w:rFonts w:ascii="宋体" w:hAnsi="宋体"/>
          <w:color w:val="000000"/>
          <w:szCs w:val="21"/>
        </w:rPr>
      </w:pPr>
      <w:r>
        <w:rPr>
          <w:rFonts w:hint="eastAsia" w:ascii="宋体" w:hAnsi="宋体"/>
          <w:color w:val="000000"/>
          <w:szCs w:val="21"/>
        </w:rPr>
        <w:t>九、保证中标之后，按照投标文件承诺派驻管理人员及投入机械设备，如有违反，同意接受建设单位违约处罚；</w:t>
      </w:r>
    </w:p>
    <w:p w14:paraId="1AAF6611">
      <w:pPr>
        <w:kinsoku/>
        <w:overflowPunct/>
        <w:bidi w:val="0"/>
        <w:adjustRightInd w:val="0"/>
        <w:snapToGrid w:val="0"/>
        <w:spacing w:line="440" w:lineRule="exact"/>
        <w:ind w:firstLine="420" w:firstLineChars="200"/>
        <w:rPr>
          <w:rFonts w:ascii="宋体" w:hAnsi="宋体"/>
          <w:color w:val="000000"/>
          <w:szCs w:val="21"/>
        </w:rPr>
      </w:pPr>
      <w:r>
        <w:rPr>
          <w:rFonts w:hint="eastAsia" w:ascii="宋体" w:hAnsi="宋体"/>
          <w:color w:val="000000"/>
          <w:szCs w:val="21"/>
        </w:rPr>
        <w:t>十、保证企业及所属相关人员在本次投标中无行贿等犯罪行为；</w:t>
      </w:r>
    </w:p>
    <w:p w14:paraId="40A01D19">
      <w:pPr>
        <w:kinsoku/>
        <w:overflowPunct/>
        <w:bidi w:val="0"/>
        <w:adjustRightInd w:val="0"/>
        <w:snapToGrid w:val="0"/>
        <w:spacing w:line="440" w:lineRule="exact"/>
        <w:ind w:firstLine="420" w:firstLineChars="200"/>
        <w:rPr>
          <w:rFonts w:hint="eastAsia" w:ascii="宋体" w:hAnsi="宋体"/>
          <w:color w:val="000000"/>
          <w:szCs w:val="21"/>
        </w:rPr>
      </w:pPr>
      <w:r>
        <w:rPr>
          <w:rFonts w:hint="eastAsia" w:ascii="宋体" w:hAnsi="宋体"/>
          <w:color w:val="000000"/>
          <w:szCs w:val="21"/>
        </w:rPr>
        <w:t>十一、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p>
    <w:p w14:paraId="2424779F">
      <w:pPr>
        <w:kinsoku/>
        <w:overflowPunct/>
        <w:bidi w:val="0"/>
        <w:adjustRightInd w:val="0"/>
        <w:snapToGrid w:val="0"/>
        <w:spacing w:line="440" w:lineRule="exact"/>
        <w:ind w:firstLine="420" w:firstLineChars="200"/>
        <w:rPr>
          <w:rFonts w:hint="eastAsia" w:ascii="宋体" w:hAnsi="宋体"/>
          <w:color w:val="000000"/>
          <w:szCs w:val="21"/>
        </w:rPr>
      </w:pPr>
      <w:r>
        <w:rPr>
          <w:rFonts w:hint="eastAsia" w:ascii="宋体" w:hAnsi="宋体"/>
          <w:color w:val="000000"/>
          <w:szCs w:val="21"/>
        </w:rPr>
        <w:t xml:space="preserve"> 以上内容我已仔细阅读，本公司若有违反承诺内容的行为，自愿接受取消投标或者中标资格、中标无效、记入不良行为记录等有关处理，愿意承担法律责任，给招标人造成损失的，承担赔偿责任。</w:t>
      </w:r>
    </w:p>
    <w:p w14:paraId="77662B54">
      <w:pPr>
        <w:kinsoku/>
        <w:overflowPunct/>
        <w:bidi w:val="0"/>
        <w:adjustRightInd w:val="0"/>
        <w:snapToGrid w:val="0"/>
        <w:spacing w:line="440" w:lineRule="exact"/>
        <w:rPr>
          <w:rFonts w:hint="eastAsia" w:ascii="宋体" w:hAnsi="宋体"/>
          <w:color w:val="000000"/>
          <w:szCs w:val="21"/>
        </w:rPr>
      </w:pPr>
    </w:p>
    <w:p w14:paraId="628B63B7">
      <w:pPr>
        <w:spacing w:line="440" w:lineRule="exact"/>
        <w:rPr>
          <w:rFonts w:hint="eastAsia" w:ascii="宋体" w:hAnsi="宋体" w:eastAsia="宋体" w:cs="宋体"/>
          <w:color w:val="000000"/>
          <w:szCs w:val="21"/>
        </w:rPr>
      </w:pPr>
      <w:r>
        <w:rPr>
          <w:rFonts w:hint="eastAsia" w:ascii="宋体" w:hAnsi="宋体" w:eastAsia="宋体" w:cs="宋体"/>
          <w:color w:val="000000"/>
          <w:szCs w:val="21"/>
        </w:rPr>
        <w:t>开户银行：                基本账户：</w:t>
      </w:r>
    </w:p>
    <w:p w14:paraId="0D425806">
      <w:pPr>
        <w:spacing w:line="440" w:lineRule="exact"/>
        <w:rPr>
          <w:rFonts w:hint="eastAsia" w:ascii="宋体" w:hAnsi="宋体" w:eastAsia="宋体" w:cs="宋体"/>
          <w:color w:val="000000"/>
          <w:szCs w:val="21"/>
        </w:rPr>
      </w:pPr>
      <w:r>
        <w:rPr>
          <w:rFonts w:hint="eastAsia" w:ascii="宋体" w:hAnsi="宋体" w:eastAsia="宋体" w:cs="宋体"/>
          <w:color w:val="000000"/>
          <w:szCs w:val="21"/>
        </w:rPr>
        <w:t>投标人（签章）：          法定代表人（签章或</w:t>
      </w:r>
      <w:r>
        <w:rPr>
          <w:rFonts w:hint="eastAsia" w:ascii="宋体" w:hAnsi="宋体" w:cs="宋体"/>
          <w:color w:val="000000"/>
          <w:szCs w:val="21"/>
          <w:lang w:val="en-US" w:eastAsia="zh-CN"/>
        </w:rPr>
        <w:t>签章</w:t>
      </w:r>
      <w:r>
        <w:rPr>
          <w:rFonts w:hint="eastAsia" w:ascii="宋体" w:hAnsi="宋体" w:eastAsia="宋体" w:cs="宋体"/>
          <w:color w:val="000000"/>
          <w:szCs w:val="21"/>
        </w:rPr>
        <w:t>）：</w:t>
      </w:r>
    </w:p>
    <w:p w14:paraId="7854ACFF">
      <w:pPr>
        <w:adjustRightInd w:val="0"/>
        <w:snapToGrid w:val="0"/>
        <w:spacing w:line="400" w:lineRule="exact"/>
        <w:rPr>
          <w:rFonts w:hint="eastAsia" w:ascii="宋体" w:hAnsi="宋体"/>
          <w:szCs w:val="21"/>
        </w:rPr>
      </w:pPr>
    </w:p>
    <w:p w14:paraId="4F097E67">
      <w:pPr>
        <w:adjustRightInd w:val="0"/>
        <w:snapToGrid w:val="0"/>
        <w:spacing w:line="400" w:lineRule="exact"/>
        <w:jc w:val="right"/>
        <w:rPr>
          <w:rFonts w:hint="eastAsia" w:ascii="仿宋_GB2312" w:eastAsia="仿宋_GB2312"/>
          <w:sz w:val="32"/>
          <w:szCs w:val="32"/>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rPr>
        <w:t xml:space="preserve"> </w:t>
      </w:r>
      <w:r>
        <w:rPr>
          <w:rFonts w:ascii="宋体" w:hAnsi="宋体"/>
          <w:szCs w:val="21"/>
          <w:u w:val="single"/>
        </w:rPr>
        <w:t xml:space="preserve">           </w:t>
      </w:r>
      <w:r>
        <w:rPr>
          <w:rFonts w:hint="eastAsia" w:ascii="宋体" w:hAnsi="宋体"/>
          <w:szCs w:val="21"/>
        </w:rPr>
        <w:t>月</w:t>
      </w:r>
      <w:r>
        <w:rPr>
          <w:rFonts w:ascii="宋体" w:hAnsi="宋体"/>
          <w:szCs w:val="21"/>
        </w:rPr>
        <w:t xml:space="preserve"> </w:t>
      </w:r>
      <w:r>
        <w:rPr>
          <w:rFonts w:ascii="宋体" w:hAnsi="宋体"/>
          <w:szCs w:val="21"/>
          <w:u w:val="single"/>
        </w:rPr>
        <w:t xml:space="preserve">            </w:t>
      </w:r>
      <w:r>
        <w:rPr>
          <w:rFonts w:hint="eastAsia" w:ascii="宋体" w:hAnsi="宋体"/>
          <w:szCs w:val="21"/>
        </w:rPr>
        <w:t>日</w:t>
      </w:r>
    </w:p>
    <w:p w14:paraId="1ED17FB5">
      <w:pPr>
        <w:jc w:val="center"/>
        <w:rPr>
          <w:rFonts w:hint="eastAsia" w:ascii="宋体" w:hAnsi="宋体" w:cs="宋体"/>
          <w:sz w:val="28"/>
          <w:szCs w:val="28"/>
          <w:u w:val="single"/>
        </w:rPr>
      </w:pPr>
    </w:p>
    <w:p w14:paraId="0FADAC9F">
      <w:pPr>
        <w:jc w:val="center"/>
        <w:rPr>
          <w:rFonts w:ascii="仿宋" w:hAnsi="仿宋" w:eastAsia="仿宋" w:cs="仿宋"/>
          <w:color w:val="auto"/>
          <w:sz w:val="28"/>
          <w:szCs w:val="28"/>
          <w:highlight w:val="none"/>
          <w:u w:val="single"/>
        </w:rPr>
      </w:pPr>
    </w:p>
    <w:p w14:paraId="1EBA07FD">
      <w:pPr>
        <w:jc w:val="center"/>
        <w:rPr>
          <w:rFonts w:ascii="仿宋" w:hAnsi="仿宋" w:eastAsia="仿宋" w:cs="仿宋"/>
          <w:color w:val="auto"/>
          <w:sz w:val="28"/>
          <w:szCs w:val="28"/>
          <w:highlight w:val="none"/>
          <w:u w:val="single"/>
        </w:rPr>
      </w:pPr>
    </w:p>
    <w:p w14:paraId="5191B60A">
      <w:pPr>
        <w:jc w:val="center"/>
        <w:rPr>
          <w:rFonts w:ascii="仿宋" w:hAnsi="仿宋" w:eastAsia="仿宋" w:cs="仿宋"/>
          <w:color w:val="auto"/>
          <w:sz w:val="28"/>
          <w:szCs w:val="28"/>
          <w:highlight w:val="none"/>
          <w:u w:val="single"/>
        </w:rPr>
      </w:pPr>
    </w:p>
    <w:p w14:paraId="7834934B">
      <w:pPr>
        <w:jc w:val="center"/>
        <w:rPr>
          <w:rFonts w:ascii="仿宋" w:hAnsi="仿宋" w:eastAsia="仿宋" w:cs="仿宋"/>
          <w:color w:val="auto"/>
          <w:sz w:val="28"/>
          <w:szCs w:val="28"/>
          <w:highlight w:val="none"/>
          <w:u w:val="single"/>
        </w:rPr>
      </w:pPr>
    </w:p>
    <w:p w14:paraId="58FCD7B2">
      <w:pPr>
        <w:jc w:val="center"/>
        <w:rPr>
          <w:rFonts w:ascii="仿宋" w:hAnsi="仿宋" w:eastAsia="仿宋" w:cs="仿宋"/>
          <w:color w:val="auto"/>
          <w:sz w:val="28"/>
          <w:szCs w:val="28"/>
          <w:highlight w:val="none"/>
          <w:u w:val="single"/>
        </w:rPr>
      </w:pPr>
    </w:p>
    <w:p w14:paraId="266A4AB4">
      <w:pPr>
        <w:jc w:val="center"/>
        <w:rPr>
          <w:rFonts w:ascii="仿宋" w:hAnsi="仿宋" w:eastAsia="仿宋" w:cs="仿宋"/>
          <w:color w:val="auto"/>
          <w:sz w:val="28"/>
          <w:szCs w:val="28"/>
          <w:highlight w:val="none"/>
          <w:u w:val="single"/>
        </w:rPr>
      </w:pPr>
    </w:p>
    <w:p w14:paraId="07655ACB">
      <w:pPr>
        <w:jc w:val="center"/>
        <w:rPr>
          <w:rFonts w:ascii="仿宋" w:hAnsi="仿宋" w:eastAsia="仿宋" w:cs="仿宋"/>
          <w:color w:val="auto"/>
          <w:sz w:val="28"/>
          <w:szCs w:val="28"/>
          <w:highlight w:val="none"/>
          <w:u w:val="single"/>
        </w:rPr>
      </w:pPr>
    </w:p>
    <w:p w14:paraId="0449CB75">
      <w:pPr>
        <w:jc w:val="center"/>
        <w:rPr>
          <w:rFonts w:ascii="仿宋" w:hAnsi="仿宋" w:eastAsia="仿宋" w:cs="仿宋"/>
          <w:color w:val="auto"/>
          <w:sz w:val="28"/>
          <w:szCs w:val="28"/>
          <w:highlight w:val="none"/>
          <w:u w:val="single"/>
        </w:rPr>
      </w:pPr>
    </w:p>
    <w:p w14:paraId="020F618A">
      <w:pPr>
        <w:jc w:val="center"/>
        <w:rPr>
          <w:rFonts w:ascii="仿宋" w:hAnsi="仿宋" w:eastAsia="仿宋" w:cs="仿宋"/>
          <w:color w:val="auto"/>
          <w:sz w:val="28"/>
          <w:szCs w:val="28"/>
          <w:highlight w:val="none"/>
          <w:u w:val="single"/>
        </w:rPr>
      </w:pPr>
    </w:p>
    <w:p w14:paraId="06758269">
      <w:pPr>
        <w:jc w:val="center"/>
        <w:rPr>
          <w:rFonts w:ascii="仿宋" w:hAnsi="仿宋" w:eastAsia="仿宋" w:cs="仿宋"/>
          <w:color w:val="auto"/>
          <w:sz w:val="28"/>
          <w:szCs w:val="28"/>
          <w:highlight w:val="none"/>
          <w:u w:val="single"/>
        </w:rPr>
      </w:pPr>
    </w:p>
    <w:p w14:paraId="4C2302F6">
      <w:pPr>
        <w:jc w:val="center"/>
        <w:rPr>
          <w:rFonts w:ascii="仿宋" w:hAnsi="仿宋" w:eastAsia="仿宋" w:cs="仿宋"/>
          <w:color w:val="auto"/>
          <w:sz w:val="28"/>
          <w:szCs w:val="28"/>
          <w:highlight w:val="none"/>
          <w:u w:val="single"/>
        </w:rPr>
      </w:pPr>
    </w:p>
    <w:p w14:paraId="447A35BE">
      <w:pPr>
        <w:jc w:val="center"/>
        <w:rPr>
          <w:rFonts w:ascii="仿宋" w:hAnsi="仿宋" w:eastAsia="仿宋" w:cs="仿宋"/>
          <w:color w:val="auto"/>
          <w:sz w:val="28"/>
          <w:szCs w:val="28"/>
          <w:highlight w:val="none"/>
          <w:u w:val="single"/>
        </w:rPr>
      </w:pPr>
    </w:p>
    <w:p w14:paraId="766BFAB1">
      <w:pPr>
        <w:jc w:val="center"/>
        <w:rPr>
          <w:rFonts w:ascii="仿宋" w:hAnsi="仿宋" w:eastAsia="仿宋" w:cs="仿宋"/>
          <w:color w:val="auto"/>
          <w:sz w:val="28"/>
          <w:szCs w:val="28"/>
          <w:highlight w:val="none"/>
          <w:u w:val="single"/>
        </w:rPr>
      </w:pPr>
    </w:p>
    <w:p w14:paraId="12D198B9">
      <w:pPr>
        <w:pStyle w:val="48"/>
        <w:rPr>
          <w:rFonts w:ascii="仿宋" w:hAnsi="仿宋" w:eastAsia="仿宋" w:cs="仿宋"/>
          <w:color w:val="auto"/>
          <w:sz w:val="28"/>
          <w:szCs w:val="28"/>
          <w:highlight w:val="none"/>
          <w:u w:val="single"/>
        </w:rPr>
      </w:pPr>
    </w:p>
    <w:p w14:paraId="4B9187BC">
      <w:pPr>
        <w:rPr>
          <w:rFonts w:ascii="仿宋" w:hAnsi="仿宋" w:eastAsia="仿宋" w:cs="仿宋"/>
          <w:color w:val="auto"/>
          <w:sz w:val="28"/>
          <w:szCs w:val="28"/>
          <w:highlight w:val="none"/>
          <w:u w:val="single"/>
        </w:rPr>
      </w:pPr>
    </w:p>
    <w:p w14:paraId="3968B305">
      <w:pPr>
        <w:pStyle w:val="48"/>
        <w:rPr>
          <w:rFonts w:ascii="仿宋" w:hAnsi="仿宋" w:eastAsia="仿宋" w:cs="仿宋"/>
          <w:color w:val="auto"/>
          <w:sz w:val="28"/>
          <w:szCs w:val="28"/>
          <w:highlight w:val="none"/>
          <w:u w:val="single"/>
        </w:rPr>
      </w:pPr>
    </w:p>
    <w:p w14:paraId="1EB1745C">
      <w:pPr>
        <w:rPr>
          <w:rFonts w:ascii="仿宋" w:hAnsi="仿宋" w:eastAsia="仿宋" w:cs="仿宋"/>
          <w:color w:val="auto"/>
          <w:sz w:val="28"/>
          <w:szCs w:val="28"/>
          <w:highlight w:val="none"/>
          <w:u w:val="single"/>
        </w:rPr>
      </w:pPr>
    </w:p>
    <w:p w14:paraId="35C95599">
      <w:pPr>
        <w:pStyle w:val="48"/>
        <w:rPr>
          <w:rFonts w:ascii="仿宋" w:hAnsi="仿宋" w:eastAsia="仿宋" w:cs="仿宋"/>
          <w:color w:val="auto"/>
          <w:sz w:val="28"/>
          <w:szCs w:val="28"/>
          <w:highlight w:val="none"/>
          <w:u w:val="single"/>
        </w:rPr>
      </w:pPr>
    </w:p>
    <w:p w14:paraId="0A58C808">
      <w:pPr>
        <w:rPr>
          <w:rFonts w:ascii="仿宋" w:hAnsi="仿宋" w:eastAsia="仿宋" w:cs="仿宋"/>
          <w:color w:val="auto"/>
          <w:sz w:val="28"/>
          <w:szCs w:val="28"/>
          <w:highlight w:val="none"/>
          <w:u w:val="single"/>
        </w:rPr>
      </w:pPr>
    </w:p>
    <w:p w14:paraId="7D8764EA">
      <w:pPr>
        <w:pStyle w:val="48"/>
      </w:pPr>
    </w:p>
    <w:p w14:paraId="55B15257">
      <w:pPr>
        <w:jc w:val="center"/>
        <w:rPr>
          <w:rFonts w:ascii="仿宋" w:hAnsi="仿宋" w:eastAsia="仿宋" w:cs="仿宋"/>
          <w:color w:val="auto"/>
          <w:sz w:val="28"/>
          <w:szCs w:val="28"/>
          <w:highlight w:val="none"/>
          <w:u w:val="single"/>
        </w:rPr>
      </w:pPr>
    </w:p>
    <w:p w14:paraId="3D852A75">
      <w:pPr>
        <w:jc w:val="center"/>
        <w:rPr>
          <w:rFonts w:ascii="仿宋" w:hAnsi="仿宋" w:eastAsia="仿宋" w:cs="仿宋"/>
          <w:color w:val="auto"/>
          <w:sz w:val="28"/>
          <w:szCs w:val="28"/>
          <w:highlight w:val="none"/>
          <w:u w:val="single"/>
        </w:rPr>
      </w:pPr>
    </w:p>
    <w:p w14:paraId="58670111">
      <w:pPr>
        <w:jc w:val="center"/>
        <w:rPr>
          <w:rFonts w:hint="eastAsia" w:ascii="宋体" w:hAnsi="宋体" w:eastAsia="宋体" w:cs="宋体"/>
          <w:color w:val="auto"/>
          <w:sz w:val="20"/>
          <w:szCs w:val="20"/>
          <w:highlight w:val="none"/>
        </w:rPr>
      </w:pP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（项目名称）</w:t>
      </w:r>
    </w:p>
    <w:p w14:paraId="7636AF6C">
      <w:pPr>
        <w:jc w:val="center"/>
        <w:rPr>
          <w:rFonts w:hint="eastAsia" w:ascii="宋体" w:hAnsi="宋体" w:eastAsia="宋体" w:cs="宋体"/>
          <w:color w:val="auto"/>
          <w:sz w:val="44"/>
          <w:szCs w:val="44"/>
          <w:highlight w:val="none"/>
          <w:lang w:val="en-US" w:eastAsia="zh-CN"/>
        </w:rPr>
      </w:pPr>
      <w:r>
        <w:rPr>
          <w:rFonts w:hint="eastAsia" w:ascii="宋体" w:hAnsi="宋体" w:eastAsia="宋体" w:cs="宋体"/>
          <w:color w:val="auto"/>
          <w:sz w:val="44"/>
          <w:szCs w:val="44"/>
          <w:highlight w:val="none"/>
          <w:lang w:val="en-US" w:eastAsia="zh-CN"/>
        </w:rPr>
        <w:t>投标文件二</w:t>
      </w:r>
    </w:p>
    <w:p w14:paraId="417A6ED2">
      <w:pPr>
        <w:jc w:val="center"/>
        <w:rPr>
          <w:rFonts w:hint="eastAsia" w:ascii="宋体" w:hAnsi="宋体" w:eastAsia="宋体" w:cs="宋体"/>
          <w:color w:val="auto"/>
          <w:sz w:val="44"/>
          <w:szCs w:val="44"/>
          <w:highlight w:val="none"/>
        </w:rPr>
      </w:pPr>
      <w:r>
        <w:rPr>
          <w:rFonts w:hint="eastAsia" w:ascii="宋体" w:hAnsi="宋体" w:eastAsia="宋体" w:cs="宋体"/>
          <w:color w:val="auto"/>
          <w:sz w:val="44"/>
          <w:szCs w:val="44"/>
          <w:highlight w:val="none"/>
          <w:lang w:val="en-US" w:eastAsia="zh-CN"/>
        </w:rPr>
        <w:t>商务标</w:t>
      </w:r>
      <w:r>
        <w:rPr>
          <w:rFonts w:hint="eastAsia" w:ascii="宋体" w:hAnsi="宋体" w:eastAsia="宋体" w:cs="宋体"/>
          <w:color w:val="auto"/>
          <w:sz w:val="44"/>
          <w:szCs w:val="44"/>
          <w:highlight w:val="none"/>
        </w:rPr>
        <w:t xml:space="preserve"> </w:t>
      </w:r>
    </w:p>
    <w:p w14:paraId="63BE0597">
      <w:pPr>
        <w:jc w:val="center"/>
        <w:rPr>
          <w:rFonts w:hint="eastAsia" w:ascii="宋体" w:hAnsi="宋体" w:eastAsia="宋体" w:cs="宋体"/>
          <w:color w:val="auto"/>
          <w:sz w:val="44"/>
          <w:szCs w:val="44"/>
          <w:highlight w:val="none"/>
        </w:rPr>
      </w:pPr>
    </w:p>
    <w:p w14:paraId="4F1EB2E5">
      <w:pPr>
        <w:rPr>
          <w:rFonts w:hint="eastAsia" w:ascii="宋体" w:hAnsi="宋体" w:eastAsia="宋体" w:cs="宋体"/>
          <w:color w:val="auto"/>
          <w:sz w:val="28"/>
          <w:szCs w:val="28"/>
          <w:highlight w:val="none"/>
        </w:rPr>
      </w:pPr>
    </w:p>
    <w:p w14:paraId="59C9F2E0">
      <w:pPr>
        <w:rPr>
          <w:rFonts w:hint="eastAsia" w:ascii="宋体" w:hAnsi="宋体" w:eastAsia="宋体" w:cs="宋体"/>
          <w:color w:val="auto"/>
          <w:sz w:val="28"/>
          <w:szCs w:val="28"/>
          <w:highlight w:val="none"/>
        </w:rPr>
      </w:pPr>
    </w:p>
    <w:p w14:paraId="7E528519">
      <w:pPr>
        <w:rPr>
          <w:rFonts w:hint="eastAsia" w:ascii="宋体" w:hAnsi="宋体" w:eastAsia="宋体" w:cs="宋体"/>
          <w:color w:val="auto"/>
          <w:sz w:val="28"/>
          <w:szCs w:val="28"/>
          <w:highlight w:val="none"/>
        </w:rPr>
      </w:pPr>
    </w:p>
    <w:p w14:paraId="4961742F">
      <w:pPr>
        <w:rPr>
          <w:rFonts w:hint="eastAsia" w:ascii="宋体" w:hAnsi="宋体" w:eastAsia="宋体" w:cs="宋体"/>
          <w:color w:val="auto"/>
          <w:sz w:val="28"/>
          <w:szCs w:val="28"/>
          <w:highlight w:val="none"/>
        </w:rPr>
      </w:pPr>
    </w:p>
    <w:p w14:paraId="6CF6CC3B">
      <w:pPr>
        <w:rPr>
          <w:rFonts w:hint="eastAsia" w:ascii="宋体" w:hAnsi="宋体" w:eastAsia="宋体" w:cs="宋体"/>
          <w:color w:val="auto"/>
          <w:sz w:val="28"/>
          <w:szCs w:val="28"/>
          <w:highlight w:val="none"/>
        </w:rPr>
      </w:pPr>
    </w:p>
    <w:p w14:paraId="51646F3C">
      <w:pPr>
        <w:rPr>
          <w:rFonts w:hint="eastAsia" w:ascii="宋体" w:hAnsi="宋体" w:eastAsia="宋体" w:cs="宋体"/>
          <w:color w:val="auto"/>
          <w:sz w:val="28"/>
          <w:szCs w:val="28"/>
          <w:highlight w:val="none"/>
        </w:rPr>
      </w:pPr>
    </w:p>
    <w:p w14:paraId="697AF514">
      <w:pPr>
        <w:rPr>
          <w:rFonts w:hint="eastAsia" w:ascii="宋体" w:hAnsi="宋体" w:eastAsia="宋体" w:cs="宋体"/>
          <w:color w:val="auto"/>
          <w:sz w:val="28"/>
          <w:szCs w:val="28"/>
          <w:highlight w:val="none"/>
        </w:rPr>
      </w:pPr>
    </w:p>
    <w:p w14:paraId="2EE672BC">
      <w:pPr>
        <w:jc w:val="center"/>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盖章</w:t>
      </w:r>
      <w:r>
        <w:rPr>
          <w:rFonts w:hint="eastAsia" w:ascii="宋体" w:hAnsi="宋体" w:eastAsia="宋体" w:cs="宋体"/>
          <w:color w:val="auto"/>
          <w:sz w:val="28"/>
          <w:szCs w:val="28"/>
          <w:highlight w:val="none"/>
        </w:rPr>
        <w:t>）</w:t>
      </w:r>
    </w:p>
    <w:p w14:paraId="785B32FD">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val="en-US" w:eastAsia="zh-CN"/>
        </w:rPr>
        <w:t>或委托代理人</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签字或签章</w:t>
      </w:r>
      <w:r>
        <w:rPr>
          <w:rFonts w:hint="eastAsia" w:ascii="宋体" w:hAnsi="宋体" w:eastAsia="宋体" w:cs="宋体"/>
          <w:color w:val="auto"/>
          <w:sz w:val="28"/>
          <w:szCs w:val="28"/>
          <w:highlight w:val="none"/>
        </w:rPr>
        <w:t>）</w:t>
      </w:r>
    </w:p>
    <w:p w14:paraId="42D58AAF">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日</w:t>
      </w:r>
    </w:p>
    <w:p w14:paraId="2B8FFB26">
      <w:pP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p>
    <w:p w14:paraId="171AE57C">
      <w:pPr>
        <w:spacing w:line="480" w:lineRule="auto"/>
        <w:ind w:right="980" w:firstLine="602" w:firstLineChars="200"/>
        <w:jc w:val="center"/>
        <w:rPr>
          <w:rFonts w:hint="default" w:ascii="仿宋" w:hAnsi="仿宋" w:eastAsia="仿宋" w:cs="仿宋"/>
          <w:b/>
          <w:bCs/>
          <w:color w:val="auto"/>
          <w:kern w:val="0"/>
          <w:sz w:val="30"/>
          <w:szCs w:val="30"/>
          <w:highlight w:val="none"/>
          <w:lang w:val="en-US" w:eastAsia="zh-CN"/>
        </w:rPr>
      </w:pPr>
      <w:r>
        <w:rPr>
          <w:rFonts w:hint="eastAsia" w:ascii="仿宋" w:hAnsi="仿宋" w:eastAsia="仿宋" w:cs="仿宋"/>
          <w:b/>
          <w:bCs/>
          <w:color w:val="auto"/>
          <w:kern w:val="0"/>
          <w:sz w:val="30"/>
          <w:szCs w:val="30"/>
          <w:highlight w:val="none"/>
          <w:lang w:val="en-US" w:eastAsia="zh-CN"/>
        </w:rPr>
        <w:t>目录</w:t>
      </w:r>
    </w:p>
    <w:p w14:paraId="5B8A9D37">
      <w:pPr>
        <w:keepNext w:val="0"/>
        <w:keepLines w:val="0"/>
        <w:pageBreakBefore w:val="0"/>
        <w:widowControl w:val="0"/>
        <w:numPr>
          <w:ilvl w:val="0"/>
          <w:numId w:val="0"/>
        </w:numPr>
        <w:kinsoku/>
        <w:wordWrap/>
        <w:overflowPunct/>
        <w:topLinePunct w:val="0"/>
        <w:autoSpaceDE/>
        <w:autoSpaceDN/>
        <w:bidi w:val="0"/>
        <w:spacing w:line="510" w:lineRule="exact"/>
        <w:textAlignment w:val="auto"/>
        <w:rPr>
          <w:rFonts w:hint="eastAsia" w:ascii="宋体" w:hAnsi="宋体" w:eastAsia="宋体" w:cs="宋体"/>
          <w:color w:val="auto"/>
          <w:kern w:val="2"/>
          <w:sz w:val="21"/>
          <w:szCs w:val="21"/>
          <w:lang w:val="en-US" w:eastAsia="zh-CN" w:bidi="ar-SA"/>
        </w:rPr>
      </w:pPr>
    </w:p>
    <w:p w14:paraId="47505683">
      <w:pPr>
        <w:keepNext w:val="0"/>
        <w:keepLines w:val="0"/>
        <w:pageBreakBefore w:val="0"/>
        <w:widowControl w:val="0"/>
        <w:numPr>
          <w:ilvl w:val="0"/>
          <w:numId w:val="0"/>
        </w:numPr>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lang w:val="en-US" w:eastAsia="zh-CN" w:bidi="ar-SA"/>
        </w:rPr>
        <w:t>（1）</w:t>
      </w:r>
      <w:r>
        <w:rPr>
          <w:rFonts w:hint="eastAsia" w:ascii="宋体" w:hAnsi="宋体" w:eastAsia="宋体" w:cs="宋体"/>
          <w:color w:val="auto"/>
          <w:sz w:val="21"/>
          <w:szCs w:val="21"/>
          <w:highlight w:val="none"/>
          <w:lang w:val="en-US" w:eastAsia="zh-CN"/>
        </w:rPr>
        <w:t>投标函</w:t>
      </w:r>
      <w:r>
        <w:rPr>
          <w:rFonts w:hint="eastAsia" w:ascii="宋体" w:hAnsi="宋体" w:eastAsia="宋体" w:cs="宋体"/>
          <w:color w:val="auto"/>
          <w:sz w:val="21"/>
          <w:szCs w:val="21"/>
          <w:highlight w:val="none"/>
        </w:rPr>
        <w:t>；</w:t>
      </w:r>
    </w:p>
    <w:p w14:paraId="38BF6AF9">
      <w:pPr>
        <w:jc w:val="center"/>
        <w:rPr>
          <w:rFonts w:hint="eastAsia" w:ascii="宋体" w:hAnsi="宋体" w:cs="宋体"/>
          <w:b/>
          <w:bCs/>
          <w:color w:val="auto"/>
          <w:sz w:val="28"/>
          <w:szCs w:val="28"/>
          <w:highlight w:val="none"/>
        </w:rPr>
      </w:pPr>
    </w:p>
    <w:p w14:paraId="1BD4A950">
      <w:pPr>
        <w:jc w:val="center"/>
        <w:rPr>
          <w:rFonts w:hint="eastAsia" w:ascii="宋体" w:hAnsi="宋体" w:cs="宋体"/>
          <w:b/>
          <w:bCs/>
          <w:color w:val="auto"/>
          <w:sz w:val="28"/>
          <w:szCs w:val="28"/>
          <w:highlight w:val="none"/>
        </w:rPr>
      </w:pPr>
    </w:p>
    <w:p w14:paraId="1B0D899D">
      <w:pPr>
        <w:jc w:val="center"/>
        <w:rPr>
          <w:rFonts w:hint="eastAsia" w:ascii="宋体" w:hAnsi="宋体" w:cs="宋体"/>
          <w:b/>
          <w:bCs/>
          <w:color w:val="auto"/>
          <w:sz w:val="28"/>
          <w:szCs w:val="28"/>
          <w:highlight w:val="none"/>
        </w:rPr>
      </w:pPr>
    </w:p>
    <w:p w14:paraId="36FE2075">
      <w:pPr>
        <w:jc w:val="center"/>
        <w:rPr>
          <w:rFonts w:hint="eastAsia" w:ascii="宋体" w:hAnsi="宋体" w:cs="宋体"/>
          <w:b/>
          <w:bCs/>
          <w:color w:val="auto"/>
          <w:sz w:val="28"/>
          <w:szCs w:val="28"/>
          <w:highlight w:val="none"/>
        </w:rPr>
      </w:pPr>
    </w:p>
    <w:p w14:paraId="5E181F06">
      <w:pPr>
        <w:jc w:val="center"/>
        <w:rPr>
          <w:rFonts w:hint="eastAsia" w:ascii="宋体" w:hAnsi="宋体" w:cs="宋体"/>
          <w:b/>
          <w:bCs/>
          <w:color w:val="auto"/>
          <w:sz w:val="28"/>
          <w:szCs w:val="28"/>
          <w:highlight w:val="none"/>
        </w:rPr>
      </w:pPr>
    </w:p>
    <w:p w14:paraId="52A39ED1">
      <w:pPr>
        <w:jc w:val="center"/>
        <w:rPr>
          <w:rFonts w:hint="eastAsia" w:ascii="宋体" w:hAnsi="宋体" w:cs="宋体"/>
          <w:b/>
          <w:bCs/>
          <w:color w:val="auto"/>
          <w:sz w:val="28"/>
          <w:szCs w:val="28"/>
          <w:highlight w:val="none"/>
        </w:rPr>
      </w:pPr>
    </w:p>
    <w:p w14:paraId="49005B6A">
      <w:pPr>
        <w:jc w:val="center"/>
        <w:rPr>
          <w:rFonts w:hint="eastAsia" w:ascii="宋体" w:hAnsi="宋体" w:cs="宋体"/>
          <w:b/>
          <w:bCs/>
          <w:color w:val="auto"/>
          <w:sz w:val="28"/>
          <w:szCs w:val="28"/>
          <w:highlight w:val="none"/>
        </w:rPr>
      </w:pPr>
    </w:p>
    <w:p w14:paraId="3D324F23">
      <w:pPr>
        <w:jc w:val="center"/>
        <w:rPr>
          <w:rFonts w:hint="eastAsia" w:ascii="宋体" w:hAnsi="宋体" w:cs="宋体"/>
          <w:b/>
          <w:bCs/>
          <w:color w:val="auto"/>
          <w:sz w:val="28"/>
          <w:szCs w:val="28"/>
          <w:highlight w:val="none"/>
        </w:rPr>
      </w:pPr>
    </w:p>
    <w:p w14:paraId="73ABBA13">
      <w:pPr>
        <w:jc w:val="center"/>
        <w:rPr>
          <w:rFonts w:hint="eastAsia" w:ascii="宋体" w:hAnsi="宋体" w:cs="宋体"/>
          <w:b/>
          <w:bCs/>
          <w:color w:val="auto"/>
          <w:sz w:val="28"/>
          <w:szCs w:val="28"/>
          <w:highlight w:val="none"/>
        </w:rPr>
      </w:pPr>
    </w:p>
    <w:p w14:paraId="25579B1E">
      <w:pPr>
        <w:jc w:val="center"/>
        <w:rPr>
          <w:rFonts w:hint="eastAsia" w:ascii="宋体" w:hAnsi="宋体" w:cs="宋体"/>
          <w:b/>
          <w:bCs/>
          <w:color w:val="auto"/>
          <w:sz w:val="28"/>
          <w:szCs w:val="28"/>
          <w:highlight w:val="none"/>
        </w:rPr>
      </w:pPr>
    </w:p>
    <w:p w14:paraId="3952A502">
      <w:pPr>
        <w:jc w:val="center"/>
        <w:rPr>
          <w:rFonts w:hint="eastAsia" w:ascii="宋体" w:hAnsi="宋体" w:cs="宋体"/>
          <w:b/>
          <w:bCs/>
          <w:color w:val="auto"/>
          <w:sz w:val="28"/>
          <w:szCs w:val="28"/>
          <w:highlight w:val="none"/>
        </w:rPr>
      </w:pPr>
    </w:p>
    <w:p w14:paraId="3A1FDF65">
      <w:pPr>
        <w:jc w:val="center"/>
        <w:rPr>
          <w:rFonts w:hint="eastAsia" w:ascii="宋体" w:hAnsi="宋体" w:cs="宋体"/>
          <w:b/>
          <w:bCs/>
          <w:color w:val="auto"/>
          <w:sz w:val="28"/>
          <w:szCs w:val="28"/>
          <w:highlight w:val="none"/>
        </w:rPr>
      </w:pPr>
    </w:p>
    <w:p w14:paraId="42C8BA2F">
      <w:pPr>
        <w:jc w:val="center"/>
        <w:rPr>
          <w:rFonts w:hint="eastAsia" w:ascii="宋体" w:hAnsi="宋体" w:cs="宋体"/>
          <w:b/>
          <w:bCs/>
          <w:color w:val="auto"/>
          <w:sz w:val="28"/>
          <w:szCs w:val="28"/>
          <w:highlight w:val="none"/>
        </w:rPr>
      </w:pPr>
    </w:p>
    <w:p w14:paraId="16435E1B">
      <w:pPr>
        <w:jc w:val="center"/>
        <w:rPr>
          <w:rFonts w:hint="eastAsia" w:ascii="宋体" w:hAnsi="宋体" w:cs="宋体"/>
          <w:b/>
          <w:bCs/>
          <w:color w:val="auto"/>
          <w:sz w:val="28"/>
          <w:szCs w:val="28"/>
          <w:highlight w:val="none"/>
        </w:rPr>
      </w:pPr>
    </w:p>
    <w:p w14:paraId="71CEC4F7">
      <w:pPr>
        <w:jc w:val="center"/>
        <w:rPr>
          <w:rFonts w:hint="eastAsia" w:ascii="宋体" w:hAnsi="宋体" w:cs="宋体"/>
          <w:b/>
          <w:bCs/>
          <w:color w:val="auto"/>
          <w:sz w:val="28"/>
          <w:szCs w:val="28"/>
          <w:highlight w:val="none"/>
        </w:rPr>
      </w:pPr>
    </w:p>
    <w:p w14:paraId="43B6D58C">
      <w:pPr>
        <w:jc w:val="center"/>
        <w:rPr>
          <w:rFonts w:hint="eastAsia" w:ascii="宋体" w:hAnsi="宋体" w:cs="宋体"/>
          <w:b/>
          <w:bCs/>
          <w:color w:val="auto"/>
          <w:sz w:val="28"/>
          <w:szCs w:val="28"/>
          <w:highlight w:val="none"/>
        </w:rPr>
      </w:pPr>
    </w:p>
    <w:p w14:paraId="4B8D8490">
      <w:pPr>
        <w:jc w:val="center"/>
        <w:rPr>
          <w:rFonts w:hint="eastAsia" w:ascii="宋体" w:hAnsi="宋体" w:cs="宋体"/>
          <w:b/>
          <w:bCs/>
          <w:color w:val="auto"/>
          <w:sz w:val="28"/>
          <w:szCs w:val="28"/>
          <w:highlight w:val="none"/>
        </w:rPr>
      </w:pPr>
    </w:p>
    <w:p w14:paraId="3BAA9E68">
      <w:pPr>
        <w:jc w:val="center"/>
        <w:rPr>
          <w:rFonts w:hint="eastAsia" w:ascii="宋体" w:hAnsi="宋体" w:cs="宋体"/>
          <w:b/>
          <w:bCs/>
          <w:color w:val="auto"/>
          <w:sz w:val="28"/>
          <w:szCs w:val="28"/>
          <w:highlight w:val="none"/>
        </w:rPr>
      </w:pPr>
    </w:p>
    <w:p w14:paraId="43E98097">
      <w:pPr>
        <w:jc w:val="center"/>
        <w:rPr>
          <w:rFonts w:hint="eastAsia" w:ascii="宋体" w:hAnsi="宋体" w:cs="宋体"/>
          <w:b/>
          <w:bCs/>
          <w:color w:val="auto"/>
          <w:sz w:val="28"/>
          <w:szCs w:val="28"/>
          <w:highlight w:val="none"/>
        </w:rPr>
      </w:pPr>
    </w:p>
    <w:p w14:paraId="078DAE51">
      <w:pPr>
        <w:jc w:val="center"/>
        <w:rPr>
          <w:rFonts w:hint="eastAsia" w:ascii="宋体" w:hAnsi="宋体" w:cs="宋体"/>
          <w:b/>
          <w:bCs/>
          <w:color w:val="auto"/>
          <w:sz w:val="28"/>
          <w:szCs w:val="28"/>
          <w:highlight w:val="none"/>
        </w:rPr>
      </w:pPr>
    </w:p>
    <w:p w14:paraId="40C0A75C">
      <w:pPr>
        <w:jc w:val="center"/>
        <w:rPr>
          <w:rFonts w:hint="eastAsia" w:ascii="宋体" w:hAnsi="宋体" w:cs="宋体"/>
          <w:b/>
          <w:bCs/>
          <w:color w:val="auto"/>
          <w:sz w:val="28"/>
          <w:szCs w:val="28"/>
          <w:highlight w:val="none"/>
        </w:rPr>
      </w:pPr>
    </w:p>
    <w:p w14:paraId="3C6F74FA">
      <w:pPr>
        <w:jc w:val="center"/>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t>（1）投 标 函</w:t>
      </w:r>
    </w:p>
    <w:p w14:paraId="6C39BA2C">
      <w:pPr>
        <w:spacing w:line="500" w:lineRule="exact"/>
        <w:rPr>
          <w:rFonts w:hint="eastAsia"/>
          <w:color w:val="auto"/>
          <w:highlight w:val="none"/>
        </w:rPr>
      </w:pPr>
      <w:r>
        <w:rPr>
          <w:rFonts w:hint="eastAsia"/>
          <w:b/>
          <w:bCs/>
          <w:color w:val="auto"/>
          <w:highlight w:val="none"/>
        </w:rPr>
        <w:t>致 ：</w:t>
      </w:r>
      <w:r>
        <w:rPr>
          <w:rFonts w:hint="eastAsia"/>
          <w:b/>
          <w:bCs/>
          <w:color w:val="auto"/>
          <w:highlight w:val="none"/>
          <w:u w:val="single"/>
        </w:rPr>
        <w:t xml:space="preserve">                （招标人名称）</w:t>
      </w:r>
      <w:r>
        <w:rPr>
          <w:rFonts w:hint="eastAsia"/>
          <w:color w:val="auto"/>
          <w:highlight w:val="none"/>
        </w:rPr>
        <w:t xml:space="preserve">：  </w:t>
      </w:r>
    </w:p>
    <w:p w14:paraId="212185E2">
      <w:pPr>
        <w:spacing w:line="560" w:lineRule="exact"/>
        <w:ind w:firstLine="420" w:firstLineChars="200"/>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rPr>
        <w:t>1、根据你方招标的</w:t>
      </w:r>
      <w:r>
        <w:rPr>
          <w:rFonts w:ascii="宋体" w:hAnsi="宋体"/>
          <w:color w:val="auto"/>
          <w:sz w:val="21"/>
          <w:szCs w:val="21"/>
          <w:highlight w:val="none"/>
          <w:u w:val="single"/>
        </w:rPr>
        <w:t xml:space="preserve">    </w:t>
      </w:r>
      <w:r>
        <w:rPr>
          <w:rFonts w:hint="eastAsia" w:ascii="宋体" w:hAnsi="宋体"/>
          <w:color w:val="auto"/>
          <w:sz w:val="21"/>
          <w:szCs w:val="21"/>
          <w:highlight w:val="none"/>
          <w:u w:val="single"/>
          <w:lang w:eastAsia="zh-CN"/>
        </w:rPr>
        <w:t>（</w:t>
      </w:r>
      <w:r>
        <w:rPr>
          <w:rFonts w:hint="eastAsia" w:ascii="宋体" w:hAnsi="宋体"/>
          <w:color w:val="auto"/>
          <w:sz w:val="21"/>
          <w:szCs w:val="21"/>
          <w:highlight w:val="none"/>
          <w:u w:val="single"/>
          <w:lang w:val="en-US" w:eastAsia="zh-CN"/>
        </w:rPr>
        <w:t>项目名称</w:t>
      </w:r>
      <w:r>
        <w:rPr>
          <w:rFonts w:hint="eastAsia" w:ascii="宋体" w:hAnsi="宋体"/>
          <w:color w:val="auto"/>
          <w:sz w:val="21"/>
          <w:szCs w:val="21"/>
          <w:highlight w:val="none"/>
          <w:u w:val="single"/>
          <w:lang w:eastAsia="zh-CN"/>
        </w:rPr>
        <w:t>）</w:t>
      </w:r>
      <w:r>
        <w:rPr>
          <w:rFonts w:ascii="宋体" w:hAnsi="宋体"/>
          <w:color w:val="auto"/>
          <w:sz w:val="21"/>
          <w:szCs w:val="21"/>
          <w:highlight w:val="none"/>
          <w:u w:val="single"/>
        </w:rPr>
        <w:t xml:space="preserve">        </w:t>
      </w:r>
      <w:r>
        <w:rPr>
          <w:rFonts w:hint="eastAsia" w:ascii="宋体" w:hAnsi="宋体"/>
          <w:color w:val="auto"/>
          <w:sz w:val="21"/>
          <w:szCs w:val="21"/>
          <w:highlight w:val="none"/>
        </w:rPr>
        <w:t>招标文件，遵照《中华人民共和国招标投标法》等有关规定，经踏勘项目现场和研究上述</w:t>
      </w:r>
      <w:r>
        <w:rPr>
          <w:rFonts w:hint="eastAsia" w:ascii="宋体" w:hAnsi="宋体"/>
          <w:color w:val="auto"/>
          <w:sz w:val="21"/>
          <w:szCs w:val="21"/>
          <w:highlight w:val="none"/>
          <w:lang w:val="en-US" w:eastAsia="zh-CN"/>
        </w:rPr>
        <w:t>招标文件</w:t>
      </w:r>
      <w:r>
        <w:rPr>
          <w:rFonts w:hint="eastAsia" w:ascii="宋体" w:hAnsi="宋体"/>
          <w:color w:val="auto"/>
          <w:sz w:val="21"/>
          <w:szCs w:val="21"/>
          <w:highlight w:val="none"/>
        </w:rPr>
        <w:t>的投标须知、合同条件、技术规范和其他有关文件后，我方愿以</w:t>
      </w:r>
      <w:r>
        <w:rPr>
          <w:rFonts w:ascii="宋体" w:hAnsi="宋体"/>
          <w:color w:val="auto"/>
          <w:sz w:val="21"/>
          <w:szCs w:val="21"/>
          <w:highlight w:val="none"/>
          <w:u w:val="single"/>
        </w:rPr>
        <w:t xml:space="preserve"> </w:t>
      </w:r>
      <w:r>
        <w:rPr>
          <w:rFonts w:hint="eastAsia" w:ascii="宋体" w:hAnsi="宋体"/>
          <w:color w:val="auto"/>
          <w:sz w:val="21"/>
          <w:szCs w:val="21"/>
          <w:highlight w:val="none"/>
          <w:u w:val="single"/>
        </w:rPr>
        <w:t xml:space="preserve">（币种，金额、单位）                   </w:t>
      </w:r>
      <w:r>
        <w:rPr>
          <w:rFonts w:hint="eastAsia" w:ascii="宋体" w:hAnsi="宋体"/>
          <w:color w:val="auto"/>
          <w:sz w:val="21"/>
          <w:szCs w:val="21"/>
          <w:highlight w:val="none"/>
        </w:rPr>
        <w:t>的投标总报价承包上</w:t>
      </w:r>
      <w:r>
        <w:rPr>
          <w:rFonts w:hint="eastAsia" w:ascii="宋体" w:hAnsi="宋体" w:eastAsia="宋体" w:cs="Times New Roman"/>
          <w:color w:val="auto"/>
          <w:sz w:val="21"/>
          <w:szCs w:val="21"/>
          <w:highlight w:val="none"/>
        </w:rPr>
        <w:t>述</w:t>
      </w:r>
      <w:r>
        <w:rPr>
          <w:rFonts w:hint="eastAsia" w:ascii="宋体" w:hAnsi="宋体" w:eastAsia="宋体" w:cs="Times New Roman"/>
          <w:color w:val="auto"/>
          <w:sz w:val="21"/>
          <w:szCs w:val="21"/>
          <w:highlight w:val="none"/>
          <w:lang w:val="en-US" w:eastAsia="zh-CN"/>
        </w:rPr>
        <w:t>项目</w:t>
      </w:r>
      <w:r>
        <w:rPr>
          <w:rFonts w:hint="eastAsia" w:ascii="宋体" w:hAnsi="宋体" w:eastAsia="宋体" w:cs="Times New Roman"/>
          <w:color w:val="auto"/>
          <w:sz w:val="21"/>
          <w:szCs w:val="21"/>
          <w:highlight w:val="none"/>
        </w:rPr>
        <w:t>的货物与服务</w:t>
      </w:r>
      <w:r>
        <w:rPr>
          <w:rFonts w:hint="eastAsia" w:ascii="宋体" w:hAnsi="宋体" w:eastAsia="宋体" w:cs="Times New Roman"/>
          <w:color w:val="auto"/>
          <w:sz w:val="21"/>
          <w:szCs w:val="21"/>
          <w:highlight w:val="none"/>
          <w:lang w:eastAsia="zh-CN"/>
        </w:rPr>
        <w:t>，</w:t>
      </w:r>
      <w:r>
        <w:rPr>
          <w:rFonts w:hint="eastAsia" w:ascii="宋体" w:hAnsi="宋体" w:eastAsia="宋体" w:cs="Times New Roman"/>
          <w:color w:val="auto"/>
          <w:sz w:val="21"/>
          <w:szCs w:val="21"/>
          <w:highlight w:val="none"/>
          <w:lang w:val="en-US" w:eastAsia="zh-CN"/>
        </w:rPr>
        <w:t>我方开票税率为</w:t>
      </w:r>
      <w:r>
        <w:rPr>
          <w:rFonts w:hint="eastAsia" w:ascii="宋体" w:hAnsi="宋体" w:eastAsia="宋体" w:cs="Times New Roman"/>
          <w:color w:val="auto"/>
          <w:sz w:val="21"/>
          <w:szCs w:val="21"/>
          <w:highlight w:val="none"/>
          <w:u w:val="single"/>
          <w:lang w:val="en-US" w:eastAsia="zh-CN"/>
        </w:rPr>
        <w:t xml:space="preserve">     % </w:t>
      </w:r>
      <w:r>
        <w:rPr>
          <w:rFonts w:hint="eastAsia" w:ascii="宋体" w:hAnsi="宋体" w:eastAsia="宋体" w:cs="Times New Roman"/>
          <w:color w:val="auto"/>
          <w:sz w:val="21"/>
          <w:szCs w:val="21"/>
          <w:highlight w:val="none"/>
          <w:u w:val="none"/>
          <w:lang w:val="en-US" w:eastAsia="zh-CN"/>
        </w:rPr>
        <w:t>，发票类型：</w:t>
      </w:r>
      <w:r>
        <w:rPr>
          <w:rFonts w:hint="eastAsia" w:ascii="宋体" w:hAnsi="宋体" w:eastAsia="宋体" w:cs="Times New Roman"/>
          <w:color w:val="auto"/>
          <w:sz w:val="21"/>
          <w:szCs w:val="21"/>
          <w:highlight w:val="none"/>
          <w:u w:val="single"/>
          <w:lang w:val="en-US" w:eastAsia="zh-CN"/>
        </w:rPr>
        <w:t xml:space="preserve"> 增值税专用发票  </w:t>
      </w:r>
      <w:r>
        <w:rPr>
          <w:rFonts w:hint="eastAsia" w:ascii="宋体" w:hAnsi="宋体" w:eastAsia="宋体" w:cs="Times New Roman"/>
          <w:color w:val="auto"/>
          <w:sz w:val="21"/>
          <w:szCs w:val="21"/>
          <w:highlight w:val="none"/>
          <w:lang w:eastAsia="zh-CN"/>
        </w:rPr>
        <w:t>。</w:t>
      </w:r>
    </w:p>
    <w:p w14:paraId="237DB6D2">
      <w:pPr>
        <w:numPr>
          <w:ilvl w:val="0"/>
          <w:numId w:val="4"/>
        </w:numPr>
        <w:spacing w:line="560" w:lineRule="exact"/>
        <w:ind w:left="0" w:firstLine="404" w:firstLineChars="200"/>
        <w:rPr>
          <w:rFonts w:ascii="宋体" w:hAnsi="宋体"/>
          <w:color w:val="auto"/>
          <w:spacing w:val="-4"/>
          <w:sz w:val="21"/>
          <w:szCs w:val="21"/>
          <w:highlight w:val="none"/>
        </w:rPr>
      </w:pPr>
      <w:r>
        <w:rPr>
          <w:rFonts w:hint="eastAsia" w:ascii="宋体" w:hAnsi="宋体"/>
          <w:color w:val="auto"/>
          <w:spacing w:val="-4"/>
          <w:sz w:val="21"/>
          <w:szCs w:val="21"/>
          <w:highlight w:val="none"/>
        </w:rPr>
        <w:t>我方已详细审核全部</w:t>
      </w:r>
      <w:r>
        <w:rPr>
          <w:rFonts w:hint="eastAsia" w:ascii="宋体" w:hAnsi="宋体"/>
          <w:color w:val="auto"/>
          <w:spacing w:val="-4"/>
          <w:sz w:val="21"/>
          <w:szCs w:val="21"/>
          <w:highlight w:val="none"/>
          <w:lang w:val="en-US" w:eastAsia="zh-CN"/>
        </w:rPr>
        <w:t>招标文件</w:t>
      </w:r>
      <w:r>
        <w:rPr>
          <w:rFonts w:hint="eastAsia" w:ascii="宋体" w:hAnsi="宋体"/>
          <w:color w:val="auto"/>
          <w:spacing w:val="-4"/>
          <w:sz w:val="21"/>
          <w:szCs w:val="21"/>
          <w:highlight w:val="none"/>
        </w:rPr>
        <w:t>及有关附件，承诺</w:t>
      </w:r>
      <w:r>
        <w:rPr>
          <w:rFonts w:hint="eastAsia" w:ascii="宋体" w:hAnsi="宋体"/>
          <w:color w:val="auto"/>
          <w:spacing w:val="-4"/>
          <w:sz w:val="21"/>
          <w:szCs w:val="21"/>
          <w:highlight w:val="none"/>
          <w:lang w:val="en-US" w:eastAsia="zh-CN"/>
        </w:rPr>
        <w:t>招标文件</w:t>
      </w:r>
      <w:r>
        <w:rPr>
          <w:rFonts w:hint="eastAsia" w:ascii="宋体" w:hAnsi="宋体"/>
          <w:color w:val="auto"/>
          <w:spacing w:val="-4"/>
          <w:sz w:val="21"/>
          <w:szCs w:val="21"/>
          <w:highlight w:val="none"/>
        </w:rPr>
        <w:t>及有关附件中所有条款。</w:t>
      </w:r>
    </w:p>
    <w:p w14:paraId="591FA363">
      <w:pPr>
        <w:spacing w:line="560" w:lineRule="exact"/>
        <w:ind w:firstLine="420" w:firstLineChars="200"/>
        <w:rPr>
          <w:rFonts w:ascii="宋体" w:hAnsi="宋体"/>
          <w:color w:val="auto"/>
          <w:sz w:val="21"/>
          <w:szCs w:val="21"/>
          <w:highlight w:val="none"/>
        </w:rPr>
      </w:pPr>
      <w:r>
        <w:rPr>
          <w:rFonts w:hint="eastAsia" w:ascii="宋体" w:hAnsi="宋体"/>
          <w:color w:val="auto"/>
          <w:sz w:val="21"/>
          <w:szCs w:val="21"/>
          <w:highlight w:val="none"/>
        </w:rPr>
        <w:t>3、</w:t>
      </w:r>
      <w:r>
        <w:rPr>
          <w:rFonts w:hint="eastAsia" w:ascii="宋体" w:hAnsi="宋体"/>
          <w:color w:val="auto"/>
          <w:sz w:val="21"/>
          <w:szCs w:val="21"/>
          <w:highlight w:val="none"/>
          <w:lang w:val="en-US" w:eastAsia="zh-CN"/>
        </w:rPr>
        <w:t>供货期为：</w:t>
      </w:r>
      <w:r>
        <w:rPr>
          <w:rFonts w:hint="eastAsia" w:ascii="宋体" w:hAnsi="宋体" w:cs="宋体"/>
          <w:color w:val="auto"/>
          <w:szCs w:val="21"/>
          <w:highlight w:val="none"/>
        </w:rPr>
        <w:t>自合同签订之日起</w:t>
      </w:r>
      <w:r>
        <w:rPr>
          <w:rFonts w:hint="eastAsia" w:ascii="宋体" w:hAnsi="宋体" w:cs="宋体"/>
          <w:color w:val="auto"/>
          <w:szCs w:val="21"/>
          <w:highlight w:val="none"/>
          <w:u w:val="single"/>
          <w:lang w:val="en-US" w:eastAsia="zh-CN"/>
        </w:rPr>
        <w:t>35</w:t>
      </w:r>
      <w:r>
        <w:rPr>
          <w:rFonts w:hint="eastAsia" w:ascii="宋体" w:hAnsi="宋体" w:cs="宋体"/>
          <w:color w:val="auto"/>
          <w:szCs w:val="21"/>
          <w:highlight w:val="none"/>
          <w:lang w:val="en-US" w:eastAsia="zh-CN"/>
        </w:rPr>
        <w:t>个日历天内供货</w:t>
      </w:r>
      <w:r>
        <w:rPr>
          <w:rFonts w:hint="eastAsia" w:ascii="宋体" w:hAnsi="宋体" w:cs="宋体"/>
          <w:color w:val="auto"/>
          <w:szCs w:val="21"/>
          <w:highlight w:val="none"/>
        </w:rPr>
        <w:t>、安装完成。</w:t>
      </w:r>
    </w:p>
    <w:p w14:paraId="155F75FD">
      <w:pPr>
        <w:spacing w:line="560" w:lineRule="exact"/>
        <w:ind w:firstLine="420" w:firstLineChars="200"/>
        <w:rPr>
          <w:rFonts w:ascii="宋体" w:hAnsi="宋体"/>
          <w:color w:val="auto"/>
          <w:sz w:val="21"/>
          <w:szCs w:val="21"/>
          <w:highlight w:val="none"/>
        </w:rPr>
      </w:pPr>
      <w:r>
        <w:rPr>
          <w:rFonts w:hint="eastAsia" w:ascii="宋体" w:hAnsi="宋体"/>
          <w:color w:val="auto"/>
          <w:sz w:val="21"/>
          <w:szCs w:val="21"/>
          <w:highlight w:val="none"/>
        </w:rPr>
        <w:t>4、如果我方在本投标书有效期内撤回投标书，或在中标通知书下达后</w:t>
      </w:r>
      <w:r>
        <w:rPr>
          <w:rFonts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30</w:t>
      </w:r>
      <w:r>
        <w:rPr>
          <w:rFonts w:ascii="宋体" w:hAnsi="宋体"/>
          <w:color w:val="auto"/>
          <w:sz w:val="21"/>
          <w:szCs w:val="21"/>
          <w:highlight w:val="none"/>
          <w:u w:val="single"/>
        </w:rPr>
        <w:t xml:space="preserve">   </w:t>
      </w:r>
      <w:r>
        <w:rPr>
          <w:rFonts w:hint="eastAsia" w:ascii="宋体" w:hAnsi="宋体"/>
          <w:color w:val="auto"/>
          <w:sz w:val="21"/>
          <w:szCs w:val="21"/>
          <w:highlight w:val="none"/>
        </w:rPr>
        <w:t>天内未能或拒绝签订合同书，或自行转标，贵单位有权</w:t>
      </w:r>
      <w:r>
        <w:rPr>
          <w:rFonts w:hint="eastAsia" w:ascii="宋体" w:hAnsi="宋体"/>
          <w:color w:val="auto"/>
          <w:sz w:val="21"/>
          <w:szCs w:val="21"/>
          <w:highlight w:val="none"/>
          <w:lang w:val="en-US" w:eastAsia="zh-CN"/>
        </w:rPr>
        <w:t>取消中标资格</w:t>
      </w:r>
      <w:r>
        <w:rPr>
          <w:rFonts w:hint="eastAsia" w:ascii="宋体" w:hAnsi="宋体"/>
          <w:color w:val="auto"/>
          <w:sz w:val="21"/>
          <w:szCs w:val="21"/>
          <w:highlight w:val="none"/>
        </w:rPr>
        <w:t>，并另选中标单位。</w:t>
      </w:r>
    </w:p>
    <w:p w14:paraId="3F89F490">
      <w:pPr>
        <w:spacing w:line="560" w:lineRule="exact"/>
        <w:ind w:firstLine="420" w:firstLineChars="200"/>
        <w:rPr>
          <w:rFonts w:hint="eastAsia" w:ascii="宋体" w:hAnsi="宋体"/>
          <w:color w:val="auto"/>
          <w:sz w:val="21"/>
          <w:szCs w:val="21"/>
          <w:highlight w:val="none"/>
        </w:rPr>
      </w:pPr>
      <w:r>
        <w:rPr>
          <w:rFonts w:hint="eastAsia" w:ascii="宋体" w:hAnsi="宋体"/>
          <w:color w:val="auto"/>
          <w:sz w:val="21"/>
          <w:szCs w:val="21"/>
          <w:highlight w:val="none"/>
        </w:rPr>
        <w:t>5、我单位提供如下通讯地址：</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电子邮箱（地址），确认本项目相关法律文书均通过提供的以上地址送达，相关文书只要发送至以上电子邮箱（地址）即视为送达，投标人愿意承担一切法律后果。</w:t>
      </w:r>
    </w:p>
    <w:p w14:paraId="113A7BF0">
      <w:pPr>
        <w:spacing w:line="500" w:lineRule="exact"/>
        <w:ind w:firstLine="420" w:firstLineChars="200"/>
        <w:rPr>
          <w:rFonts w:hint="eastAsia"/>
          <w:color w:val="auto"/>
          <w:szCs w:val="21"/>
          <w:highlight w:val="none"/>
        </w:rPr>
      </w:pPr>
    </w:p>
    <w:p w14:paraId="73CCE1DF">
      <w:pPr>
        <w:spacing w:line="400" w:lineRule="exact"/>
        <w:ind w:firstLine="2310" w:firstLineChars="1100"/>
        <w:rPr>
          <w:color w:val="auto"/>
          <w:szCs w:val="21"/>
          <w:highlight w:val="none"/>
          <w:u w:val="single"/>
        </w:rPr>
      </w:pPr>
      <w:r>
        <w:rPr>
          <w:rFonts w:hint="eastAsia"/>
          <w:color w:val="auto"/>
          <w:szCs w:val="21"/>
          <w:highlight w:val="none"/>
        </w:rPr>
        <w:t>投标人：</w:t>
      </w:r>
      <w:r>
        <w:rPr>
          <w:color w:val="auto"/>
          <w:szCs w:val="21"/>
          <w:highlight w:val="none"/>
          <w:u w:val="single"/>
        </w:rPr>
        <w:t xml:space="preserve">                             </w:t>
      </w:r>
      <w:r>
        <w:rPr>
          <w:rFonts w:hint="eastAsia"/>
          <w:color w:val="auto"/>
          <w:szCs w:val="21"/>
          <w:highlight w:val="none"/>
          <w:u w:val="single"/>
        </w:rPr>
        <w:t>（盖章）</w:t>
      </w:r>
      <w:r>
        <w:rPr>
          <w:color w:val="auto"/>
          <w:szCs w:val="21"/>
          <w:highlight w:val="none"/>
          <w:u w:val="single"/>
        </w:rPr>
        <w:t xml:space="preserve">   </w:t>
      </w:r>
    </w:p>
    <w:p w14:paraId="6D87CBE4">
      <w:pPr>
        <w:spacing w:line="400" w:lineRule="exact"/>
        <w:ind w:firstLine="2310" w:firstLineChars="1100"/>
        <w:rPr>
          <w:color w:val="auto"/>
          <w:szCs w:val="21"/>
          <w:highlight w:val="none"/>
        </w:rPr>
      </w:pPr>
      <w:r>
        <w:rPr>
          <w:rFonts w:hint="eastAsia"/>
          <w:color w:val="auto"/>
          <w:szCs w:val="21"/>
          <w:highlight w:val="none"/>
        </w:rPr>
        <w:t>法定代表人：</w:t>
      </w:r>
      <w:r>
        <w:rPr>
          <w:color w:val="auto"/>
          <w:szCs w:val="21"/>
          <w:highlight w:val="none"/>
          <w:u w:val="single"/>
        </w:rPr>
        <w:t xml:space="preserve">         </w:t>
      </w:r>
      <w:r>
        <w:rPr>
          <w:rFonts w:hint="eastAsia"/>
          <w:color w:val="auto"/>
          <w:szCs w:val="21"/>
          <w:highlight w:val="none"/>
          <w:u w:val="single"/>
        </w:rPr>
        <w:t xml:space="preserve">                （签字或盖章）</w:t>
      </w:r>
    </w:p>
    <w:p w14:paraId="0F26C06D">
      <w:pPr>
        <w:spacing w:line="400" w:lineRule="exact"/>
        <w:ind w:firstLine="2310" w:firstLineChars="1100"/>
        <w:rPr>
          <w:rFonts w:hint="eastAsia"/>
          <w:color w:val="auto"/>
          <w:szCs w:val="21"/>
          <w:highlight w:val="none"/>
        </w:rPr>
      </w:pPr>
      <w:r>
        <w:rPr>
          <w:rFonts w:hint="eastAsia"/>
          <w:color w:val="auto"/>
          <w:szCs w:val="21"/>
          <w:highlight w:val="none"/>
        </w:rPr>
        <w:t>单位地址：</w:t>
      </w:r>
      <w:r>
        <w:rPr>
          <w:color w:val="auto"/>
          <w:szCs w:val="21"/>
          <w:highlight w:val="none"/>
          <w:u w:val="single"/>
        </w:rPr>
        <w:t xml:space="preserve">                             </w:t>
      </w:r>
      <w:r>
        <w:rPr>
          <w:rFonts w:hint="eastAsia"/>
          <w:color w:val="auto"/>
          <w:szCs w:val="21"/>
          <w:highlight w:val="none"/>
        </w:rPr>
        <w:t xml:space="preserve">       </w:t>
      </w:r>
    </w:p>
    <w:p w14:paraId="00911A72">
      <w:pPr>
        <w:spacing w:line="400" w:lineRule="exact"/>
        <w:ind w:firstLine="2310" w:firstLineChars="1100"/>
        <w:rPr>
          <w:color w:val="auto"/>
          <w:szCs w:val="21"/>
          <w:highlight w:val="none"/>
          <w:u w:val="single"/>
        </w:rPr>
      </w:pPr>
      <w:r>
        <w:rPr>
          <w:rFonts w:hint="eastAsia"/>
          <w:color w:val="auto"/>
          <w:szCs w:val="21"/>
          <w:highlight w:val="none"/>
        </w:rPr>
        <w:t>邮政编码：</w:t>
      </w:r>
      <w:r>
        <w:rPr>
          <w:color w:val="auto"/>
          <w:szCs w:val="21"/>
          <w:highlight w:val="none"/>
          <w:u w:val="single"/>
        </w:rPr>
        <w:t xml:space="preserve">            </w:t>
      </w:r>
      <w:r>
        <w:rPr>
          <w:rFonts w:hint="eastAsia"/>
          <w:color w:val="auto"/>
          <w:szCs w:val="21"/>
          <w:highlight w:val="none"/>
        </w:rPr>
        <w:t>电话：</w:t>
      </w:r>
      <w:r>
        <w:rPr>
          <w:color w:val="auto"/>
          <w:szCs w:val="21"/>
          <w:highlight w:val="none"/>
          <w:u w:val="single"/>
        </w:rPr>
        <w:t xml:space="preserve">        </w:t>
      </w:r>
      <w:r>
        <w:rPr>
          <w:rFonts w:hint="eastAsia"/>
          <w:color w:val="auto"/>
          <w:szCs w:val="21"/>
          <w:highlight w:val="none"/>
        </w:rPr>
        <w:t>传真：</w:t>
      </w:r>
      <w:r>
        <w:rPr>
          <w:color w:val="auto"/>
          <w:szCs w:val="21"/>
          <w:highlight w:val="none"/>
          <w:u w:val="single"/>
        </w:rPr>
        <w:t xml:space="preserve">       </w:t>
      </w:r>
    </w:p>
    <w:p w14:paraId="1C813567">
      <w:pPr>
        <w:spacing w:line="400" w:lineRule="exact"/>
        <w:ind w:firstLine="2310" w:firstLineChars="1100"/>
        <w:rPr>
          <w:rFonts w:hint="eastAsia"/>
          <w:color w:val="auto"/>
          <w:highlight w:val="none"/>
        </w:rPr>
      </w:pPr>
      <w:r>
        <w:rPr>
          <w:rFonts w:hint="eastAsia"/>
          <w:color w:val="auto"/>
          <w:szCs w:val="21"/>
          <w:highlight w:val="none"/>
        </w:rPr>
        <w:t>日期：</w:t>
      </w:r>
      <w:r>
        <w:rPr>
          <w:color w:val="auto"/>
          <w:szCs w:val="21"/>
          <w:highlight w:val="none"/>
          <w:u w:val="single"/>
        </w:rPr>
        <w:t xml:space="preserve">           </w:t>
      </w:r>
      <w:r>
        <w:rPr>
          <w:rFonts w:hint="eastAsia"/>
          <w:color w:val="auto"/>
          <w:szCs w:val="21"/>
          <w:highlight w:val="none"/>
        </w:rPr>
        <w:t>年</w:t>
      </w:r>
      <w:r>
        <w:rPr>
          <w:color w:val="auto"/>
          <w:szCs w:val="21"/>
          <w:highlight w:val="none"/>
        </w:rPr>
        <w:t xml:space="preserve"> </w:t>
      </w:r>
      <w:r>
        <w:rPr>
          <w:color w:val="auto"/>
          <w:szCs w:val="21"/>
          <w:highlight w:val="none"/>
          <w:u w:val="single"/>
        </w:rPr>
        <w:t xml:space="preserve">           </w:t>
      </w:r>
      <w:r>
        <w:rPr>
          <w:rFonts w:hint="eastAsia"/>
          <w:color w:val="auto"/>
          <w:szCs w:val="21"/>
          <w:highlight w:val="none"/>
        </w:rPr>
        <w:t>月</w:t>
      </w:r>
      <w:r>
        <w:rPr>
          <w:color w:val="auto"/>
          <w:szCs w:val="21"/>
          <w:highlight w:val="none"/>
        </w:rPr>
        <w:t xml:space="preserve"> </w:t>
      </w:r>
      <w:r>
        <w:rPr>
          <w:color w:val="auto"/>
          <w:szCs w:val="21"/>
          <w:highlight w:val="none"/>
          <w:u w:val="single"/>
        </w:rPr>
        <w:t xml:space="preserve">            </w:t>
      </w:r>
      <w:r>
        <w:rPr>
          <w:rFonts w:hint="eastAsia"/>
          <w:color w:val="auto"/>
          <w:szCs w:val="21"/>
          <w:highlight w:val="none"/>
        </w:rPr>
        <w:t>日</w:t>
      </w:r>
    </w:p>
    <w:p w14:paraId="2997E418">
      <w:pPr>
        <w:ind w:right="-178" w:rightChars="-85"/>
        <w:jc w:val="center"/>
        <w:rPr>
          <w:rFonts w:hint="eastAsia"/>
          <w:b/>
          <w:color w:val="auto"/>
          <w:sz w:val="32"/>
          <w:szCs w:val="32"/>
          <w:highlight w:val="none"/>
        </w:rPr>
      </w:pPr>
    </w:p>
    <w:p w14:paraId="2B16D414">
      <w:pPr>
        <w:rPr>
          <w:rFonts w:ascii="仿宋" w:hAnsi="仿宋" w:eastAsia="仿宋" w:cs="仿宋"/>
          <w:b/>
          <w:bCs/>
          <w:color w:val="auto"/>
          <w:kern w:val="0"/>
          <w:sz w:val="30"/>
          <w:szCs w:val="30"/>
          <w:highlight w:val="none"/>
        </w:rPr>
      </w:pPr>
    </w:p>
    <w:p w14:paraId="73F5A1DA">
      <w:pPr>
        <w:pStyle w:val="13"/>
        <w:rPr>
          <w:rFonts w:ascii="仿宋" w:hAnsi="仿宋" w:eastAsia="仿宋" w:cs="仿宋"/>
          <w:b/>
          <w:bCs/>
          <w:color w:val="auto"/>
          <w:kern w:val="0"/>
          <w:sz w:val="30"/>
          <w:szCs w:val="30"/>
          <w:highlight w:val="none"/>
        </w:rPr>
      </w:pPr>
    </w:p>
    <w:p w14:paraId="26EBA9CE">
      <w:pPr>
        <w:pStyle w:val="48"/>
        <w:rPr>
          <w:rFonts w:ascii="仿宋" w:hAnsi="仿宋" w:eastAsia="仿宋" w:cs="仿宋"/>
          <w:b/>
          <w:bCs/>
          <w:color w:val="auto"/>
          <w:kern w:val="0"/>
          <w:sz w:val="30"/>
          <w:szCs w:val="30"/>
          <w:highlight w:val="none"/>
        </w:rPr>
      </w:pPr>
    </w:p>
    <w:p w14:paraId="013D2C48">
      <w:pPr>
        <w:rPr>
          <w:rFonts w:ascii="仿宋" w:hAnsi="仿宋" w:eastAsia="仿宋" w:cs="仿宋"/>
          <w:b/>
          <w:bCs/>
          <w:color w:val="auto"/>
          <w:kern w:val="0"/>
          <w:sz w:val="30"/>
          <w:szCs w:val="30"/>
          <w:highlight w:val="none"/>
        </w:rPr>
      </w:pPr>
    </w:p>
    <w:p w14:paraId="2731793E">
      <w:pPr>
        <w:pStyle w:val="13"/>
        <w:rPr>
          <w:rFonts w:ascii="仿宋" w:hAnsi="仿宋" w:eastAsia="仿宋" w:cs="仿宋"/>
          <w:b/>
          <w:bCs/>
          <w:color w:val="auto"/>
          <w:kern w:val="0"/>
          <w:sz w:val="30"/>
          <w:szCs w:val="30"/>
          <w:highlight w:val="none"/>
        </w:rPr>
      </w:pPr>
    </w:p>
    <w:p w14:paraId="4784CFA7">
      <w:pPr>
        <w:pStyle w:val="48"/>
        <w:rPr>
          <w:color w:val="auto"/>
          <w:highlight w:val="none"/>
        </w:rPr>
      </w:pPr>
    </w:p>
    <w:p w14:paraId="1E1E1156">
      <w:pPr>
        <w:rPr>
          <w:color w:val="auto"/>
          <w:highlight w:val="none"/>
        </w:rPr>
      </w:pPr>
    </w:p>
    <w:p w14:paraId="1E3A77D2">
      <w:pPr>
        <w:rPr>
          <w:color w:val="auto"/>
          <w:highlight w:val="none"/>
        </w:rPr>
      </w:pPr>
    </w:p>
    <w:p w14:paraId="6176A1E7">
      <w:pPr>
        <w:pStyle w:val="3"/>
        <w:spacing w:before="200" w:after="200" w:line="600" w:lineRule="exact"/>
        <w:rPr>
          <w:rFonts w:hint="eastAsia" w:ascii="黑体" w:hAnsi="黑体" w:eastAsia="黑体"/>
          <w:color w:val="000000"/>
          <w:sz w:val="28"/>
          <w:szCs w:val="28"/>
        </w:rPr>
      </w:pPr>
      <w:bookmarkStart w:id="178" w:name="_Toc10914"/>
      <w:bookmarkStart w:id="179" w:name="_Toc95223548"/>
      <w:bookmarkStart w:id="180" w:name="_Toc23863"/>
      <w:r>
        <w:rPr>
          <w:rFonts w:hint="eastAsia" w:ascii="黑体" w:hAnsi="黑体" w:eastAsia="黑体"/>
          <w:color w:val="000000"/>
          <w:sz w:val="36"/>
          <w:szCs w:val="28"/>
        </w:rPr>
        <w:t>附件1 关于联合惩戒失信行为加强信用查询管理的通知</w:t>
      </w:r>
      <w:bookmarkEnd w:id="178"/>
    </w:p>
    <w:p w14:paraId="7CDD8066">
      <w:pPr>
        <w:adjustRightInd w:val="0"/>
        <w:snapToGrid w:val="0"/>
        <w:spacing w:line="560" w:lineRule="exact"/>
        <w:ind w:firstLine="562" w:firstLineChars="200"/>
        <w:rPr>
          <w:rFonts w:hint="eastAsia" w:ascii="仿宋_GB2312" w:hAnsi="宋体" w:eastAsia="仿宋_GB2312"/>
          <w:b/>
          <w:color w:val="000000"/>
          <w:sz w:val="28"/>
          <w:szCs w:val="28"/>
        </w:rPr>
      </w:pPr>
      <w:r>
        <w:rPr>
          <w:rFonts w:hint="eastAsia" w:ascii="仿宋_GB2312" w:hAnsi="宋体" w:eastAsia="仿宋_GB2312"/>
          <w:b/>
          <w:color w:val="000000"/>
          <w:sz w:val="28"/>
          <w:szCs w:val="28"/>
        </w:rPr>
        <w:t>一、失信行为联合惩戒的范围和查询渠道</w:t>
      </w:r>
    </w:p>
    <w:p w14:paraId="35A0D4F3">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在我市公共资源交易活动中对存在下列失信行为的投标人、法定代表人及其项目经理（建造师）实施联合惩戒，禁止参与我市公共资源交易活动。</w:t>
      </w:r>
    </w:p>
    <w:p w14:paraId="1719A5AA">
      <w:pPr>
        <w:adjustRightInd w:val="0"/>
        <w:snapToGrid w:val="0"/>
        <w:spacing w:line="560" w:lineRule="exact"/>
        <w:ind w:firstLine="562" w:firstLineChars="200"/>
        <w:rPr>
          <w:rFonts w:hint="eastAsia" w:ascii="仿宋_GB2312" w:hAnsi="宋体" w:eastAsia="仿宋_GB2312"/>
          <w:b/>
          <w:color w:val="000000"/>
          <w:sz w:val="28"/>
          <w:szCs w:val="28"/>
        </w:rPr>
      </w:pPr>
      <w:r>
        <w:rPr>
          <w:rFonts w:hint="eastAsia" w:ascii="仿宋_GB2312" w:hAnsi="宋体" w:eastAsia="仿宋_GB2312"/>
          <w:b/>
          <w:color w:val="000000"/>
          <w:sz w:val="28"/>
          <w:szCs w:val="28"/>
        </w:rPr>
        <w:t>（一）工程建设项目</w:t>
      </w:r>
    </w:p>
    <w:p w14:paraId="115313B5">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1、“信用中国”网站（www.creditchina.gov.cn）查询以下失信行为：</w:t>
      </w:r>
    </w:p>
    <w:p w14:paraId="1D100D32">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①投标人被人民法院列入失信被执行人的；</w:t>
      </w:r>
    </w:p>
    <w:p w14:paraId="2C55F32B">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②投标人被税务部门列入重大税收违法案件当事人的；</w:t>
      </w:r>
    </w:p>
    <w:p w14:paraId="66CD06EE">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③投标人被人力资源社会保障主管部门列入拖欠农民工工资“黑名单”的；</w:t>
      </w:r>
    </w:p>
    <w:p w14:paraId="52FB6B87">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④在“信用中国”网站上披露的仍在公示期的严重失信行为的。</w:t>
      </w:r>
    </w:p>
    <w:p w14:paraId="7C0A4809">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2、国家企业信用信息公示系统网站（</w:t>
      </w:r>
      <w:r>
        <w:rPr>
          <w:rFonts w:hint="eastAsia" w:ascii="仿宋_GB2312" w:hAnsi="宋体" w:eastAsia="仿宋_GB2312"/>
          <w:color w:val="000000"/>
          <w:sz w:val="28"/>
          <w:szCs w:val="28"/>
        </w:rPr>
        <w:fldChar w:fldCharType="begin"/>
      </w:r>
      <w:r>
        <w:rPr>
          <w:rFonts w:hint="eastAsia" w:ascii="仿宋_GB2312" w:hAnsi="宋体" w:eastAsia="仿宋_GB2312"/>
          <w:color w:val="000000"/>
          <w:sz w:val="28"/>
          <w:szCs w:val="28"/>
        </w:rPr>
        <w:instrText xml:space="preserve">HYPERLINK "http://www.gsxt.gov.cn）查询"</w:instrText>
      </w:r>
      <w:r>
        <w:rPr>
          <w:rFonts w:hint="eastAsia" w:ascii="仿宋_GB2312" w:hAnsi="宋体" w:eastAsia="仿宋_GB2312"/>
          <w:color w:val="000000"/>
          <w:sz w:val="28"/>
          <w:szCs w:val="28"/>
        </w:rPr>
        <w:fldChar w:fldCharType="separate"/>
      </w:r>
      <w:r>
        <w:rPr>
          <w:rFonts w:hint="eastAsia" w:ascii="仿宋_GB2312" w:hAnsi="宋体" w:eastAsia="仿宋_GB2312"/>
          <w:color w:val="000000"/>
          <w:sz w:val="28"/>
          <w:szCs w:val="28"/>
        </w:rPr>
        <w:t>www.gsxt.gov.cn）</w:t>
      </w:r>
      <w:r>
        <w:rPr>
          <w:rFonts w:hint="eastAsia" w:ascii="仿宋_GB2312" w:hAnsi="宋体" w:eastAsia="仿宋_GB2312"/>
          <w:color w:val="000000"/>
          <w:sz w:val="28"/>
          <w:szCs w:val="28"/>
        </w:rPr>
        <w:fldChar w:fldCharType="end"/>
      </w:r>
      <w:r>
        <w:rPr>
          <w:rFonts w:hint="eastAsia" w:ascii="仿宋_GB2312" w:hAnsi="宋体" w:eastAsia="仿宋_GB2312"/>
          <w:color w:val="000000"/>
          <w:sz w:val="28"/>
          <w:szCs w:val="28"/>
        </w:rPr>
        <w:t>查询以下失信行为：</w:t>
      </w:r>
    </w:p>
    <w:p w14:paraId="03896D4B">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①被市场监督管理部门列入经营异常名录或者严重违法企业名单的。</w:t>
      </w:r>
    </w:p>
    <w:p w14:paraId="598DA95E">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3、滁州市公共资源交易中心网站（http://ggzy.chuzhou.gov.cn/）查询以下失信行为：</w:t>
      </w:r>
    </w:p>
    <w:p w14:paraId="2E6A21B1">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①被滁州市县两级公管部门取消在一定期限内的投标资格且在取消期限内的；</w:t>
      </w:r>
    </w:p>
    <w:p w14:paraId="5DB30BCB">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②被滁州市县两级公管部门记入不良行为记录或者信用信息记录，且在披露期内的。</w:t>
      </w:r>
    </w:p>
    <w:p w14:paraId="5C26E174">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4、由竞争主体进行承诺，不进行现场网上信用查询的失信行为：</w:t>
      </w:r>
    </w:p>
    <w:p w14:paraId="38E6AE57">
      <w:pPr>
        <w:adjustRightInd w:val="0"/>
        <w:snapToGrid w:val="0"/>
        <w:spacing w:line="560" w:lineRule="exact"/>
        <w:ind w:firstLine="560" w:firstLineChars="200"/>
        <w:rPr>
          <w:rFonts w:hint="eastAsia" w:ascii="仿宋_GB2312" w:hAnsi="宋体" w:eastAsia="仿宋_GB2312" w:cs="楷体"/>
          <w:color w:val="000000"/>
          <w:sz w:val="28"/>
          <w:szCs w:val="28"/>
        </w:rPr>
      </w:pPr>
      <w:r>
        <w:rPr>
          <w:rFonts w:hint="eastAsia" w:ascii="仿宋_GB2312" w:hAnsi="宋体" w:eastAsia="仿宋_GB2312"/>
          <w:color w:val="000000"/>
          <w:sz w:val="28"/>
          <w:szCs w:val="28"/>
        </w:rPr>
        <w:t>①</w:t>
      </w:r>
      <w:r>
        <w:rPr>
          <w:rFonts w:hint="eastAsia" w:ascii="仿宋_GB2312" w:hAnsi="宋体" w:eastAsia="仿宋_GB2312" w:cs="楷体"/>
          <w:color w:val="000000"/>
          <w:sz w:val="28"/>
          <w:szCs w:val="28"/>
        </w:rPr>
        <w:t>前三年有行贿犯罪行为的单位和个人；</w:t>
      </w:r>
    </w:p>
    <w:p w14:paraId="460F55DC">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②被滁州市县两级各行业主管部门取消在一定期限内的投标资格且在取消期限内的；</w:t>
      </w:r>
    </w:p>
    <w:p w14:paraId="1B609AE5">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③因拖欠农民工工资被县级及以上有关行政主管部门限制投标资格且在限制期限内的；</w:t>
      </w:r>
    </w:p>
    <w:p w14:paraId="1072B58F">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④被列入省级、市级农民工工资支付异常名录的施工企业，在限制其参加全市范围内房建和市政工程建设项目投标的期限内的；列入县级异常名录的施工企业，在限制其参加本行政区域内房建和市政建设项目投标的期限内的。</w:t>
      </w:r>
    </w:p>
    <w:p w14:paraId="56ADE4D1">
      <w:pPr>
        <w:adjustRightInd w:val="0"/>
        <w:snapToGrid w:val="0"/>
        <w:spacing w:line="560" w:lineRule="exact"/>
        <w:ind w:firstLine="562" w:firstLineChars="200"/>
        <w:rPr>
          <w:rFonts w:hint="eastAsia" w:ascii="仿宋_GB2312" w:hAnsi="宋体" w:eastAsia="仿宋_GB2312"/>
          <w:b/>
          <w:color w:val="000000"/>
          <w:sz w:val="28"/>
          <w:szCs w:val="28"/>
        </w:rPr>
      </w:pPr>
      <w:r>
        <w:rPr>
          <w:rFonts w:hint="eastAsia" w:ascii="仿宋_GB2312" w:hAnsi="宋体" w:eastAsia="仿宋_GB2312"/>
          <w:b/>
          <w:color w:val="000000"/>
          <w:sz w:val="28"/>
          <w:szCs w:val="28"/>
        </w:rPr>
        <w:t>（二）政府采购项目</w:t>
      </w:r>
    </w:p>
    <w:p w14:paraId="2D446A05">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1、“信用中国”网站（www.creditchina.gov.cn）查询以下失信行为：</w:t>
      </w:r>
    </w:p>
    <w:p w14:paraId="0AA43410">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①投标人被人民法院列入失信被执行人的；</w:t>
      </w:r>
    </w:p>
    <w:p w14:paraId="7F6E5DE9">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②投标人被税务部门列入重大税收违法案件当事人的；</w:t>
      </w:r>
    </w:p>
    <w:p w14:paraId="56EF7E25">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③在“信用中国”网站上披露的仍在公示期的严重失信行为的。</w:t>
      </w:r>
    </w:p>
    <w:p w14:paraId="68240304">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2、国家企业信用信息公示系统网站（</w:t>
      </w:r>
      <w:r>
        <w:rPr>
          <w:rFonts w:hint="eastAsia" w:ascii="仿宋_GB2312" w:hAnsi="宋体" w:eastAsia="仿宋_GB2312"/>
          <w:color w:val="000000"/>
          <w:sz w:val="28"/>
          <w:szCs w:val="28"/>
        </w:rPr>
        <w:fldChar w:fldCharType="begin"/>
      </w:r>
      <w:r>
        <w:rPr>
          <w:rFonts w:hint="eastAsia" w:ascii="仿宋_GB2312" w:hAnsi="宋体" w:eastAsia="仿宋_GB2312"/>
          <w:color w:val="000000"/>
          <w:sz w:val="28"/>
          <w:szCs w:val="28"/>
        </w:rPr>
        <w:instrText xml:space="preserve">HYPERLINK "http://www.gsxt.gov.cn）查询"</w:instrText>
      </w:r>
      <w:r>
        <w:rPr>
          <w:rFonts w:hint="eastAsia" w:ascii="仿宋_GB2312" w:hAnsi="宋体" w:eastAsia="仿宋_GB2312"/>
          <w:color w:val="000000"/>
          <w:sz w:val="28"/>
          <w:szCs w:val="28"/>
        </w:rPr>
        <w:fldChar w:fldCharType="separate"/>
      </w:r>
      <w:r>
        <w:rPr>
          <w:rFonts w:hint="eastAsia" w:ascii="仿宋_GB2312" w:hAnsi="宋体" w:eastAsia="仿宋_GB2312"/>
          <w:color w:val="000000"/>
          <w:sz w:val="28"/>
          <w:szCs w:val="28"/>
        </w:rPr>
        <w:t>www.gsxt.gov.cn）</w:t>
      </w:r>
      <w:r>
        <w:rPr>
          <w:rFonts w:hint="eastAsia" w:ascii="仿宋_GB2312" w:hAnsi="宋体" w:eastAsia="仿宋_GB2312"/>
          <w:color w:val="000000"/>
          <w:sz w:val="28"/>
          <w:szCs w:val="28"/>
        </w:rPr>
        <w:fldChar w:fldCharType="end"/>
      </w:r>
      <w:r>
        <w:rPr>
          <w:rFonts w:hint="eastAsia" w:ascii="仿宋_GB2312" w:hAnsi="宋体" w:eastAsia="仿宋_GB2312"/>
          <w:color w:val="000000"/>
          <w:sz w:val="28"/>
          <w:szCs w:val="28"/>
        </w:rPr>
        <w:t>查询以下失信行为：</w:t>
      </w:r>
    </w:p>
    <w:p w14:paraId="394F8C86">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①被市场监督管理部门列入经营异常名录或者严重违法企业名单的。</w:t>
      </w:r>
    </w:p>
    <w:p w14:paraId="02737E76">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3、中国政府采购网站（</w:t>
      </w:r>
      <w:r>
        <w:rPr>
          <w:rFonts w:hint="eastAsia" w:ascii="仿宋_GB2312" w:hAnsi="宋体" w:eastAsia="仿宋_GB2312"/>
          <w:color w:val="000000"/>
          <w:sz w:val="28"/>
          <w:szCs w:val="28"/>
        </w:rPr>
        <w:fldChar w:fldCharType="begin"/>
      </w:r>
      <w:r>
        <w:rPr>
          <w:rFonts w:hint="eastAsia" w:ascii="仿宋_GB2312" w:hAnsi="宋体" w:eastAsia="仿宋_GB2312"/>
          <w:color w:val="000000"/>
          <w:sz w:val="28"/>
          <w:szCs w:val="28"/>
        </w:rPr>
        <w:instrText xml:space="preserve"> HYPERLINK "http://www.ccgp.gov.cn" </w:instrText>
      </w:r>
      <w:r>
        <w:rPr>
          <w:rFonts w:hint="eastAsia" w:ascii="仿宋_GB2312" w:hAnsi="宋体" w:eastAsia="仿宋_GB2312"/>
          <w:color w:val="000000"/>
          <w:sz w:val="28"/>
          <w:szCs w:val="28"/>
        </w:rPr>
        <w:fldChar w:fldCharType="separate"/>
      </w:r>
      <w:r>
        <w:rPr>
          <w:rStyle w:val="60"/>
          <w:rFonts w:hint="eastAsia" w:ascii="仿宋_GB2312" w:hAnsi="宋体" w:eastAsia="仿宋_GB2312"/>
          <w:color w:val="000000"/>
          <w:sz w:val="28"/>
          <w:szCs w:val="28"/>
        </w:rPr>
        <w:t>www.ccgp.gov.cn</w:t>
      </w:r>
      <w:r>
        <w:rPr>
          <w:rFonts w:hint="eastAsia" w:ascii="仿宋_GB2312" w:hAnsi="宋体" w:eastAsia="仿宋_GB2312"/>
          <w:color w:val="000000"/>
          <w:sz w:val="28"/>
          <w:szCs w:val="28"/>
        </w:rPr>
        <w:fldChar w:fldCharType="end"/>
      </w:r>
      <w:r>
        <w:rPr>
          <w:rFonts w:hint="eastAsia" w:ascii="仿宋_GB2312" w:hAnsi="宋体" w:eastAsia="仿宋_GB2312"/>
          <w:color w:val="000000"/>
          <w:sz w:val="28"/>
          <w:szCs w:val="28"/>
        </w:rPr>
        <w:t>）查询以下失信行为：</w:t>
      </w:r>
    </w:p>
    <w:p w14:paraId="4943C70F">
      <w:pPr>
        <w:adjustRightInd w:val="0"/>
        <w:snapToGrid w:val="0"/>
        <w:spacing w:line="560" w:lineRule="exact"/>
        <w:ind w:firstLine="560" w:firstLineChars="200"/>
        <w:rPr>
          <w:rFonts w:hint="eastAsia" w:ascii="仿宋_GB2312" w:hAnsi="宋体" w:eastAsia="仿宋_GB2312" w:cs="楷体"/>
          <w:color w:val="000000"/>
          <w:sz w:val="28"/>
          <w:szCs w:val="28"/>
        </w:rPr>
      </w:pPr>
      <w:r>
        <w:rPr>
          <w:rFonts w:hint="eastAsia" w:ascii="仿宋_GB2312" w:hAnsi="宋体" w:eastAsia="仿宋_GB2312"/>
          <w:color w:val="000000"/>
          <w:sz w:val="28"/>
          <w:szCs w:val="28"/>
        </w:rPr>
        <w:t>①</w:t>
      </w:r>
      <w:r>
        <w:rPr>
          <w:rFonts w:hint="eastAsia" w:ascii="仿宋_GB2312" w:hAnsi="宋体" w:eastAsia="仿宋_GB2312" w:cs="楷体"/>
          <w:color w:val="000000"/>
          <w:sz w:val="28"/>
          <w:szCs w:val="28"/>
        </w:rPr>
        <w:t>政府采购严重违法失信行为</w:t>
      </w:r>
    </w:p>
    <w:p w14:paraId="72A38FE8">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4、由竞争主体进行承诺，不进行现场网上信用查询的失信行为：</w:t>
      </w:r>
    </w:p>
    <w:p w14:paraId="1C643291">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①</w:t>
      </w:r>
      <w:r>
        <w:rPr>
          <w:rFonts w:hint="eastAsia" w:ascii="仿宋_GB2312" w:hAnsi="宋体" w:eastAsia="仿宋_GB2312" w:cs="楷体"/>
          <w:color w:val="000000"/>
          <w:sz w:val="28"/>
          <w:szCs w:val="28"/>
        </w:rPr>
        <w:t>前三年有行贿犯罪行为的单位和个人</w:t>
      </w:r>
      <w:r>
        <w:rPr>
          <w:rFonts w:hint="eastAsia" w:ascii="仿宋_GB2312" w:hAnsi="宋体" w:eastAsia="仿宋_GB2312"/>
          <w:color w:val="000000"/>
          <w:sz w:val="28"/>
          <w:szCs w:val="28"/>
        </w:rPr>
        <w:t>。</w:t>
      </w:r>
    </w:p>
    <w:p w14:paraId="15F0B440">
      <w:pPr>
        <w:adjustRightInd w:val="0"/>
        <w:snapToGrid w:val="0"/>
        <w:spacing w:line="560" w:lineRule="exact"/>
        <w:ind w:firstLine="562" w:firstLineChars="200"/>
        <w:rPr>
          <w:rFonts w:hint="eastAsia" w:ascii="仿宋_GB2312" w:hAnsi="宋体" w:eastAsia="仿宋_GB2312"/>
          <w:b/>
          <w:color w:val="000000"/>
          <w:sz w:val="28"/>
          <w:szCs w:val="28"/>
        </w:rPr>
      </w:pPr>
      <w:r>
        <w:rPr>
          <w:rFonts w:hint="eastAsia" w:ascii="仿宋_GB2312" w:hAnsi="宋体" w:eastAsia="仿宋_GB2312"/>
          <w:b/>
          <w:color w:val="000000"/>
          <w:sz w:val="28"/>
          <w:szCs w:val="28"/>
        </w:rPr>
        <w:t>二、在开评标活动中的查询程序</w:t>
      </w:r>
    </w:p>
    <w:p w14:paraId="60014571">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1、实行有限数量制资格审查的项目，由项目单位（代理机构）对入围的投标人、法定代表人及其项目经理（建造师）是否存在上述要求查询的失信行为进行网上核查；若核查结果与投标人承诺不一致，则提交评标委员会取消其入围资格，依次进行替补，并对替补单位进行核查。评审结论以核查后入围的结果重新计算最终评标基准值。</w:t>
      </w:r>
    </w:p>
    <w:p w14:paraId="5CB7218E">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2、不实行有限数量制资格审查的项目，由项目单位（代理机构）对预中标候选人、法定代表人及其项目经理（建造师）是否存在上述要求查询的失信行为进行网上核查后，提交网站截图等查询记录给评标委员会复核。若核查结果不符合招标文件规定的投标人资格条件信誉要求，由评标委员会取消其预中标候选人资格，并依次替补，再次对替补单位进行核查。如评标现场未发现问题但标后质疑（异议）、投诉发现中标候选人存在信誉问题，则组织评标委员会重新启动复核程序。核查结果不改变原评标基准值。</w:t>
      </w:r>
    </w:p>
    <w:p w14:paraId="0C4358CB">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3、项目单位及其委托的代理机构应当做好信用查询结果截图和记录留存。</w:t>
      </w:r>
    </w:p>
    <w:p w14:paraId="0AB1464B">
      <w:pPr>
        <w:adjustRightInd w:val="0"/>
        <w:snapToGrid w:val="0"/>
        <w:spacing w:line="560" w:lineRule="exact"/>
        <w:ind w:firstLine="562" w:firstLineChars="200"/>
        <w:rPr>
          <w:rFonts w:hint="eastAsia" w:ascii="仿宋_GB2312" w:hAnsi="宋体" w:eastAsia="仿宋_GB2312"/>
          <w:b/>
          <w:color w:val="000000"/>
          <w:sz w:val="28"/>
          <w:szCs w:val="28"/>
        </w:rPr>
      </w:pPr>
      <w:r>
        <w:rPr>
          <w:rFonts w:hint="eastAsia" w:ascii="仿宋_GB2312" w:hAnsi="宋体" w:eastAsia="仿宋_GB2312"/>
          <w:b/>
          <w:color w:val="000000"/>
          <w:sz w:val="28"/>
          <w:szCs w:val="28"/>
        </w:rPr>
        <w:t>三、相关要求</w:t>
      </w:r>
    </w:p>
    <w:p w14:paraId="4CC7A1C4">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1、参与公共资源交易活动的竞争主体根据上述范围查询的内容进行自查并承诺，出具《诚信投标承诺书》（诚信投标承诺书包括但不限于上述自查并承诺内容）并注明承诺日期（投标截止时间前5日内）。</w:t>
      </w:r>
    </w:p>
    <w:p w14:paraId="71771161">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经核查，竞争主体在承诺日期之前（没有承诺日期的以资格审查日或开标日之前）有上述失信行为进行虚假承诺的，将视作不诚信行为，资格审查委员会或评标委员会及代理机构应当及时报告公共资源监管部门，依法依规予以处理。</w:t>
      </w:r>
    </w:p>
    <w:p w14:paraId="01BF0C3B">
      <w:pPr>
        <w:wordWrap w:val="0"/>
        <w:adjustRightInd w:val="0"/>
        <w:snapToGrid w:val="0"/>
        <w:spacing w:line="560" w:lineRule="exact"/>
        <w:ind w:firstLine="560" w:firstLineChars="200"/>
        <w:rPr>
          <w:rFonts w:hint="eastAsia"/>
          <w:color w:val="000000"/>
          <w:highlight w:val="none"/>
        </w:rPr>
      </w:pPr>
      <w:r>
        <w:rPr>
          <w:rFonts w:hint="eastAsia" w:ascii="仿宋_GB2312" w:hAnsi="宋体" w:eastAsia="仿宋_GB2312"/>
          <w:color w:val="000000"/>
          <w:sz w:val="28"/>
          <w:szCs w:val="28"/>
          <w:highlight w:val="none"/>
        </w:rPr>
        <w:t xml:space="preserve">注册地在安徽省内且未在安徽省外开展业务、省外无违法违规行为的企业可通过安徽政务服务网开具由安徽省公共信用信息服务中心出具的《公共信用信息报告（无违法违规证明版或核查版）》代替《诚信投标承诺书》。《公共信用信息报告（无违法违规证明版或核查版）》可通过 “信用中国(安徽)”网站信用报告核验系统 ( </w:t>
      </w:r>
      <w:r>
        <w:rPr>
          <w:rFonts w:ascii="仿宋_GB2312" w:hAnsi="宋体" w:eastAsia="仿宋_GB2312"/>
          <w:color w:val="000000"/>
          <w:sz w:val="28"/>
          <w:szCs w:val="28"/>
          <w:highlight w:val="none"/>
        </w:rPr>
        <w:fldChar w:fldCharType="begin"/>
      </w:r>
      <w:r>
        <w:rPr>
          <w:rFonts w:ascii="仿宋_GB2312" w:hAnsi="宋体" w:eastAsia="仿宋_GB2312"/>
          <w:color w:val="000000"/>
          <w:sz w:val="28"/>
          <w:szCs w:val="28"/>
          <w:highlight w:val="none"/>
        </w:rPr>
        <w:instrText xml:space="preserve"> HYPERLINK "</w:instrText>
      </w:r>
      <w:r>
        <w:rPr>
          <w:rFonts w:hint="eastAsia" w:ascii="仿宋_GB2312" w:hAnsi="宋体" w:eastAsia="仿宋_GB2312"/>
          <w:color w:val="000000"/>
          <w:sz w:val="28"/>
          <w:szCs w:val="28"/>
          <w:highlight w:val="none"/>
        </w:rPr>
        <w:instrText xml:space="preserve">https://credit.ah.gov.cn/xinyong-fuwu/xvbahv/index.html</w:instrText>
      </w:r>
      <w:r>
        <w:rPr>
          <w:rFonts w:ascii="仿宋_GB2312" w:hAnsi="宋体" w:eastAsia="仿宋_GB2312"/>
          <w:color w:val="000000"/>
          <w:sz w:val="28"/>
          <w:szCs w:val="28"/>
          <w:highlight w:val="none"/>
        </w:rPr>
        <w:instrText xml:space="preserve">" </w:instrText>
      </w:r>
      <w:r>
        <w:rPr>
          <w:rFonts w:ascii="仿宋_GB2312" w:hAnsi="宋体" w:eastAsia="仿宋_GB2312"/>
          <w:color w:val="000000"/>
          <w:sz w:val="28"/>
          <w:szCs w:val="28"/>
          <w:highlight w:val="none"/>
        </w:rPr>
        <w:fldChar w:fldCharType="separate"/>
      </w:r>
      <w:r>
        <w:rPr>
          <w:rStyle w:val="60"/>
          <w:rFonts w:hint="eastAsia" w:ascii="仿宋_GB2312" w:hAnsi="宋体" w:eastAsia="仿宋_GB2312"/>
          <w:color w:val="000000"/>
          <w:sz w:val="28"/>
          <w:szCs w:val="28"/>
          <w:highlight w:val="none"/>
        </w:rPr>
        <w:t>https://credit.ah.gov.cn/xinyong-fuwu/xvbahv/index.html</w:t>
      </w:r>
      <w:r>
        <w:rPr>
          <w:rFonts w:ascii="仿宋_GB2312" w:hAnsi="宋体" w:eastAsia="仿宋_GB2312"/>
          <w:color w:val="000000"/>
          <w:sz w:val="28"/>
          <w:szCs w:val="28"/>
          <w:highlight w:val="none"/>
        </w:rPr>
        <w:fldChar w:fldCharType="end"/>
      </w:r>
      <w:r>
        <w:rPr>
          <w:rFonts w:hint="eastAsia" w:ascii="仿宋_GB2312" w:hAnsi="宋体" w:eastAsia="仿宋_GB2312"/>
          <w:color w:val="000000"/>
          <w:sz w:val="28"/>
          <w:szCs w:val="28"/>
          <w:highlight w:val="none"/>
        </w:rPr>
        <w:t>)进行核验。核验不一致或提交《公共信用信息报告（无违法违规证明版或核查版）》的企业在省外有失信行为的将视作不诚信行为，资格审查委员会或评标委员会及代理机构应当及时报告公共资源监管部门，依法依规予以处理。</w:t>
      </w:r>
    </w:p>
    <w:p w14:paraId="08456B8B">
      <w:pPr>
        <w:adjustRightInd w:val="0"/>
        <w:snapToGrid w:val="0"/>
        <w:spacing w:line="560" w:lineRule="exact"/>
        <w:ind w:firstLine="562" w:firstLineChars="200"/>
        <w:rPr>
          <w:rFonts w:hint="eastAsia" w:ascii="仿宋_GB2312" w:hAnsi="宋体" w:eastAsia="仿宋_GB2312"/>
          <w:b/>
          <w:color w:val="000000"/>
          <w:sz w:val="28"/>
          <w:szCs w:val="28"/>
        </w:rPr>
      </w:pPr>
      <w:r>
        <w:rPr>
          <w:rFonts w:hint="eastAsia" w:ascii="仿宋_GB2312" w:hAnsi="宋体" w:eastAsia="仿宋_GB2312"/>
          <w:b/>
          <w:color w:val="000000"/>
          <w:sz w:val="28"/>
          <w:szCs w:val="28"/>
          <w:highlight w:val="none"/>
        </w:rPr>
        <w:t>2、“信用中国”查询的严重失信行为判</w:t>
      </w:r>
      <w:r>
        <w:rPr>
          <w:rFonts w:hint="eastAsia" w:ascii="仿宋_GB2312" w:hAnsi="宋体" w:eastAsia="仿宋_GB2312"/>
          <w:b/>
          <w:color w:val="000000"/>
          <w:sz w:val="28"/>
          <w:szCs w:val="28"/>
        </w:rPr>
        <w:t>定依据为各行业主管部门下发的联合惩戒文件中规定的行为（按附件2执行）。</w:t>
      </w:r>
    </w:p>
    <w:p w14:paraId="2A6A708B">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3、资格预审的项目以递交资格预审申请文件截止时间查询为准；资格后审的项目以递交投标文件截止时间查询为准。</w:t>
      </w:r>
    </w:p>
    <w:p w14:paraId="79B72902">
      <w:pPr>
        <w:adjustRightInd w:val="0"/>
        <w:snapToGrid w:val="0"/>
        <w:spacing w:line="560" w:lineRule="exact"/>
        <w:rPr>
          <w:rFonts w:hint="eastAsia"/>
          <w:color w:val="000000"/>
        </w:rPr>
      </w:pPr>
    </w:p>
    <w:p w14:paraId="1475CFA5">
      <w:pPr>
        <w:pStyle w:val="3"/>
        <w:spacing w:before="200" w:after="200" w:line="600" w:lineRule="exact"/>
        <w:rPr>
          <w:rFonts w:hint="eastAsia" w:ascii="黑体" w:hAnsi="黑体" w:eastAsia="黑体"/>
          <w:color w:val="000000"/>
          <w:sz w:val="36"/>
          <w:szCs w:val="28"/>
        </w:rPr>
      </w:pPr>
      <w:bookmarkStart w:id="181" w:name="_Toc12420"/>
      <w:r>
        <w:rPr>
          <w:rFonts w:hint="eastAsia" w:ascii="黑体" w:hAnsi="黑体" w:eastAsia="黑体"/>
          <w:color w:val="000000"/>
          <w:sz w:val="36"/>
          <w:szCs w:val="28"/>
        </w:rPr>
        <w:t>附件2 “信用中国”查询的严重失信行为类别及判定依据</w:t>
      </w:r>
      <w:bookmarkEnd w:id="181"/>
    </w:p>
    <w:p w14:paraId="00CBCF2A">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32"/>
          <w:szCs w:val="32"/>
        </w:rPr>
        <w:t>“</w:t>
      </w:r>
      <w:r>
        <w:rPr>
          <w:rFonts w:hint="eastAsia" w:ascii="仿宋_GB2312" w:hAnsi="宋体" w:eastAsia="仿宋_GB2312"/>
          <w:color w:val="000000"/>
          <w:sz w:val="28"/>
          <w:szCs w:val="28"/>
        </w:rPr>
        <w:t>信用中国”查询的严重失信行为判定依据为各行业主管部门下发的联合惩戒文件中规定的行为。下面将部分类别的严重失信行为列举如下：</w:t>
      </w:r>
    </w:p>
    <w:p w14:paraId="340004D8">
      <w:pPr>
        <w:adjustRightInd w:val="0"/>
        <w:snapToGrid w:val="0"/>
        <w:spacing w:line="560" w:lineRule="exact"/>
        <w:ind w:firstLine="645"/>
        <w:jc w:val="left"/>
        <w:rPr>
          <w:rFonts w:hint="eastAsia" w:ascii="仿宋_GB2312" w:hAnsi="宋体" w:eastAsia="仿宋_GB2312"/>
          <w:b/>
          <w:color w:val="000000"/>
          <w:sz w:val="28"/>
          <w:szCs w:val="28"/>
        </w:rPr>
      </w:pPr>
      <w:r>
        <w:rPr>
          <w:rFonts w:hint="eastAsia" w:ascii="仿宋_GB2312" w:hAnsi="宋体" w:eastAsia="仿宋_GB2312"/>
          <w:b/>
          <w:color w:val="000000"/>
          <w:sz w:val="28"/>
          <w:szCs w:val="28"/>
        </w:rPr>
        <w:t>一、安全生产领域严重失信行为：</w:t>
      </w:r>
    </w:p>
    <w:p w14:paraId="55D31C36">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（一）发生较大及以上生产安全责任事故，或1年内累计发生3起及以上造成人员死亡的一般生产安全责任事故的；</w:t>
      </w:r>
    </w:p>
    <w:p w14:paraId="5A37642A">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（二）未按规定取得安全生产许可，擅自开展生产经营建设活动的；</w:t>
      </w:r>
    </w:p>
    <w:p w14:paraId="54B570CF">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（三）发现重大生产安全事故隐患，或职业病危害严重超标，不及时整改，仍组织从业人员冒险作业的；</w:t>
      </w:r>
    </w:p>
    <w:p w14:paraId="7BE95B34">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（四）采取隐蔽、欺骗或阻碍等方式逃避、对抗安全监管监察的;</w:t>
      </w:r>
    </w:p>
    <w:p w14:paraId="62CF4ABB">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（五）被责令停产停业整顿，仍然从事生产经营建设活动的；</w:t>
      </w:r>
    </w:p>
    <w:p w14:paraId="79D2E26C">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（六）瞒报、谎报、迟报生产安全事故的；</w:t>
      </w:r>
    </w:p>
    <w:p w14:paraId="6545A3A1">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（七）矿山、危险化学品、金属冶炼等高危行业建设项目安全设施未经验收合格即投入生产和使用的；</w:t>
      </w:r>
    </w:p>
    <w:p w14:paraId="171189A6">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（八）矿山生产经营单位存在超层越界开采、以探代采行为的；</w:t>
      </w:r>
    </w:p>
    <w:p w14:paraId="0327FADE">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（九）发生事故后，故意破坏事故现场，伪造有关证据资料，妨碍、对抗事故调查，或主要负责人逃逸的；</w:t>
      </w:r>
    </w:p>
    <w:p w14:paraId="17812413">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（十）安全生产和职业健康技术服务机构出具虚假报告或证明，违规转让或出借资质的。</w:t>
      </w:r>
    </w:p>
    <w:p w14:paraId="6BE8BB3C">
      <w:pPr>
        <w:adjustRightInd w:val="0"/>
        <w:snapToGrid w:val="0"/>
        <w:spacing w:line="560" w:lineRule="exact"/>
        <w:ind w:firstLine="645"/>
        <w:jc w:val="left"/>
        <w:rPr>
          <w:rFonts w:hint="eastAsia" w:ascii="仿宋_GB2312" w:eastAsia="仿宋_GB2312"/>
          <w:b/>
          <w:color w:val="000000"/>
          <w:sz w:val="28"/>
          <w:szCs w:val="28"/>
        </w:rPr>
      </w:pPr>
      <w:r>
        <w:rPr>
          <w:rFonts w:hint="eastAsia" w:ascii="仿宋_GB2312" w:hAnsi="宋体" w:eastAsia="仿宋_GB2312"/>
          <w:b/>
          <w:color w:val="000000"/>
          <w:sz w:val="28"/>
          <w:szCs w:val="28"/>
        </w:rPr>
        <w:t>依据：《对安全生产领域失信行为开展联合惩戒的实施办法》</w:t>
      </w:r>
      <w:r>
        <w:rPr>
          <w:rFonts w:hint="eastAsia" w:ascii="仿宋_GB2312" w:eastAsia="仿宋_GB2312"/>
          <w:b/>
          <w:color w:val="000000"/>
          <w:sz w:val="28"/>
          <w:szCs w:val="28"/>
        </w:rPr>
        <w:t>（安监总办〔2017〕49号）第二条</w:t>
      </w:r>
    </w:p>
    <w:p w14:paraId="76E8CC09">
      <w:pPr>
        <w:adjustRightInd w:val="0"/>
        <w:snapToGrid w:val="0"/>
        <w:spacing w:line="560" w:lineRule="exact"/>
        <w:ind w:firstLine="645"/>
        <w:jc w:val="left"/>
        <w:rPr>
          <w:rFonts w:hint="eastAsia" w:ascii="仿宋_GB2312" w:hAnsi="宋体" w:eastAsia="仿宋_GB2312"/>
          <w:b/>
          <w:color w:val="000000"/>
          <w:sz w:val="28"/>
          <w:szCs w:val="28"/>
        </w:rPr>
      </w:pPr>
    </w:p>
    <w:p w14:paraId="1A3312E0">
      <w:pPr>
        <w:adjustRightInd w:val="0"/>
        <w:snapToGrid w:val="0"/>
        <w:spacing w:line="560" w:lineRule="exact"/>
        <w:ind w:firstLine="645"/>
        <w:jc w:val="left"/>
        <w:rPr>
          <w:rFonts w:hint="eastAsia" w:ascii="仿宋_GB2312" w:hAnsi="宋体" w:eastAsia="仿宋_GB2312"/>
          <w:b/>
          <w:color w:val="000000"/>
          <w:sz w:val="28"/>
          <w:szCs w:val="28"/>
        </w:rPr>
      </w:pPr>
      <w:r>
        <w:rPr>
          <w:rFonts w:hint="eastAsia" w:ascii="仿宋_GB2312" w:hAnsi="宋体" w:eastAsia="仿宋_GB2312"/>
          <w:b/>
          <w:color w:val="000000"/>
          <w:sz w:val="28"/>
          <w:szCs w:val="28"/>
        </w:rPr>
        <w:t>二、环境保护领域严重失信行为：</w:t>
      </w:r>
    </w:p>
    <w:p w14:paraId="0CC1089C">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（一）因为环境违法构成</w:t>
      </w:r>
      <w:r>
        <w:rPr>
          <w:rFonts w:hint="eastAsia" w:ascii="仿宋_GB2312" w:hAnsi="宋体" w:eastAsia="仿宋_GB2312"/>
          <w:color w:val="000000"/>
          <w:sz w:val="28"/>
          <w:szCs w:val="28"/>
        </w:rPr>
        <w:fldChar w:fldCharType="begin"/>
      </w:r>
      <w:r>
        <w:rPr>
          <w:rFonts w:hint="eastAsia" w:ascii="仿宋_GB2312" w:hAnsi="宋体" w:eastAsia="仿宋_GB2312"/>
          <w:color w:val="000000"/>
          <w:sz w:val="28"/>
          <w:szCs w:val="28"/>
        </w:rPr>
        <w:instrText xml:space="preserve"> HYPERLINK "https://baike.sogou.com/m/fullLemma?lid=10403954&amp;g_ut=3" \t "https://baike.sogou.com/m/_blank" </w:instrText>
      </w:r>
      <w:r>
        <w:rPr>
          <w:rFonts w:hint="eastAsia" w:ascii="仿宋_GB2312" w:hAnsi="宋体" w:eastAsia="仿宋_GB2312"/>
          <w:color w:val="000000"/>
          <w:sz w:val="28"/>
          <w:szCs w:val="28"/>
        </w:rPr>
        <w:fldChar w:fldCharType="separate"/>
      </w:r>
      <w:r>
        <w:rPr>
          <w:rFonts w:hint="eastAsia" w:ascii="仿宋_GB2312" w:hAnsi="宋体" w:eastAsia="仿宋_GB2312"/>
          <w:color w:val="000000"/>
          <w:sz w:val="28"/>
          <w:szCs w:val="28"/>
        </w:rPr>
        <w:t>环境犯罪</w:t>
      </w:r>
      <w:r>
        <w:rPr>
          <w:rFonts w:hint="eastAsia" w:ascii="仿宋_GB2312" w:hAnsi="宋体" w:eastAsia="仿宋_GB2312"/>
          <w:color w:val="000000"/>
          <w:sz w:val="28"/>
          <w:szCs w:val="28"/>
        </w:rPr>
        <w:fldChar w:fldCharType="end"/>
      </w:r>
      <w:r>
        <w:rPr>
          <w:rFonts w:hint="eastAsia" w:ascii="仿宋_GB2312" w:hAnsi="宋体" w:eastAsia="仿宋_GB2312"/>
          <w:color w:val="000000"/>
          <w:sz w:val="28"/>
          <w:szCs w:val="28"/>
        </w:rPr>
        <w:t>的；</w:t>
      </w:r>
    </w:p>
    <w:p w14:paraId="0893C0DF">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（二）</w:t>
      </w:r>
      <w:r>
        <w:rPr>
          <w:rFonts w:hint="eastAsia" w:ascii="仿宋_GB2312" w:hAnsi="宋体" w:eastAsia="仿宋_GB2312"/>
          <w:color w:val="000000"/>
          <w:sz w:val="28"/>
          <w:szCs w:val="28"/>
        </w:rPr>
        <w:fldChar w:fldCharType="begin"/>
      </w:r>
      <w:r>
        <w:rPr>
          <w:rFonts w:hint="eastAsia" w:ascii="仿宋_GB2312" w:hAnsi="宋体" w:eastAsia="仿宋_GB2312"/>
          <w:color w:val="000000"/>
          <w:sz w:val="28"/>
          <w:szCs w:val="28"/>
        </w:rPr>
        <w:instrText xml:space="preserve"> HYPERLINK "https://baike.sogou.com/m/fullLemma?lid=76033123&amp;g_ut=3" \t "https://baike.sogou.com/m/_blank" </w:instrText>
      </w:r>
      <w:r>
        <w:rPr>
          <w:rFonts w:hint="eastAsia" w:ascii="仿宋_GB2312" w:hAnsi="宋体" w:eastAsia="仿宋_GB2312"/>
          <w:color w:val="000000"/>
          <w:sz w:val="28"/>
          <w:szCs w:val="28"/>
        </w:rPr>
        <w:fldChar w:fldCharType="separate"/>
      </w:r>
      <w:r>
        <w:rPr>
          <w:rFonts w:hint="eastAsia" w:ascii="仿宋_GB2312" w:hAnsi="宋体" w:eastAsia="仿宋_GB2312"/>
          <w:color w:val="000000"/>
          <w:sz w:val="28"/>
          <w:szCs w:val="28"/>
        </w:rPr>
        <w:t>建设项目环境影响评价</w:t>
      </w:r>
      <w:r>
        <w:rPr>
          <w:rFonts w:hint="eastAsia" w:ascii="仿宋_GB2312" w:hAnsi="宋体" w:eastAsia="仿宋_GB2312"/>
          <w:color w:val="000000"/>
          <w:sz w:val="28"/>
          <w:szCs w:val="28"/>
        </w:rPr>
        <w:fldChar w:fldCharType="end"/>
      </w:r>
      <w:r>
        <w:rPr>
          <w:rFonts w:hint="eastAsia" w:ascii="仿宋_GB2312" w:hAnsi="宋体" w:eastAsia="仿宋_GB2312"/>
          <w:color w:val="000000"/>
          <w:sz w:val="28"/>
          <w:szCs w:val="28"/>
        </w:rPr>
        <w:t>文件未按规定通过审批，擅自开工建设的；</w:t>
      </w:r>
    </w:p>
    <w:p w14:paraId="7CD32C0C">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（三）建设项目环保设施未建成、环保措施未落实、未通过</w:t>
      </w:r>
      <w:r>
        <w:rPr>
          <w:rFonts w:hint="eastAsia" w:ascii="仿宋_GB2312" w:hAnsi="宋体" w:eastAsia="仿宋_GB2312"/>
          <w:color w:val="000000"/>
          <w:sz w:val="28"/>
          <w:szCs w:val="28"/>
        </w:rPr>
        <w:fldChar w:fldCharType="begin"/>
      </w:r>
      <w:r>
        <w:rPr>
          <w:rFonts w:hint="eastAsia" w:ascii="仿宋_GB2312" w:hAnsi="宋体" w:eastAsia="仿宋_GB2312"/>
          <w:color w:val="000000"/>
          <w:sz w:val="28"/>
          <w:szCs w:val="28"/>
        </w:rPr>
        <w:instrText xml:space="preserve"> HYPERLINK "https://baike.sogou.com/m/fullLemma?lid=6470550&amp;g_ut=3" \t "https://baike.sogou.com/m/_blank" </w:instrText>
      </w:r>
      <w:r>
        <w:rPr>
          <w:rFonts w:hint="eastAsia" w:ascii="仿宋_GB2312" w:hAnsi="宋体" w:eastAsia="仿宋_GB2312"/>
          <w:color w:val="000000"/>
          <w:sz w:val="28"/>
          <w:szCs w:val="28"/>
        </w:rPr>
        <w:fldChar w:fldCharType="separate"/>
      </w:r>
      <w:r>
        <w:rPr>
          <w:rFonts w:hint="eastAsia" w:ascii="仿宋_GB2312" w:hAnsi="宋体" w:eastAsia="仿宋_GB2312"/>
          <w:color w:val="000000"/>
          <w:sz w:val="28"/>
          <w:szCs w:val="28"/>
        </w:rPr>
        <w:t>竣工环保验收</w:t>
      </w:r>
      <w:r>
        <w:rPr>
          <w:rFonts w:hint="eastAsia" w:ascii="仿宋_GB2312" w:hAnsi="宋体" w:eastAsia="仿宋_GB2312"/>
          <w:color w:val="000000"/>
          <w:sz w:val="28"/>
          <w:szCs w:val="28"/>
        </w:rPr>
        <w:fldChar w:fldCharType="end"/>
      </w:r>
      <w:r>
        <w:rPr>
          <w:rFonts w:hint="eastAsia" w:ascii="仿宋_GB2312" w:hAnsi="宋体" w:eastAsia="仿宋_GB2312"/>
          <w:color w:val="000000"/>
          <w:sz w:val="28"/>
          <w:szCs w:val="28"/>
        </w:rPr>
        <w:t>或者验收不合格，主体工程正式投入生产或者使用的；</w:t>
      </w:r>
    </w:p>
    <w:p w14:paraId="5B1C6EC1">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（四）建设项目性质、规模、地点、采用的生产工艺或者防治污染、防止生态破坏的措施发生重大变动，未重新报批环境影响评价文件，擅自投入生产或者使用的；</w:t>
      </w:r>
    </w:p>
    <w:p w14:paraId="02A70AFA">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（五）主要污染物排放总量超过控制指标的；</w:t>
      </w:r>
    </w:p>
    <w:p w14:paraId="30C574B1">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（六）私设暗管或者利用</w:t>
      </w:r>
      <w:r>
        <w:rPr>
          <w:rFonts w:hint="eastAsia" w:ascii="仿宋_GB2312" w:hAnsi="宋体" w:eastAsia="仿宋_GB2312"/>
          <w:color w:val="000000"/>
          <w:sz w:val="28"/>
          <w:szCs w:val="28"/>
        </w:rPr>
        <w:fldChar w:fldCharType="begin"/>
      </w:r>
      <w:r>
        <w:rPr>
          <w:rFonts w:hint="eastAsia" w:ascii="仿宋_GB2312" w:hAnsi="宋体" w:eastAsia="仿宋_GB2312"/>
          <w:color w:val="000000"/>
          <w:sz w:val="28"/>
          <w:szCs w:val="28"/>
        </w:rPr>
        <w:instrText xml:space="preserve"> HYPERLINK "https://baike.sogou.com/m/fullLemma?lid=41657319&amp;g_ut=3" \t "https://baike.sogou.com/m/_blank" </w:instrText>
      </w:r>
      <w:r>
        <w:rPr>
          <w:rFonts w:hint="eastAsia" w:ascii="仿宋_GB2312" w:hAnsi="宋体" w:eastAsia="仿宋_GB2312"/>
          <w:color w:val="000000"/>
          <w:sz w:val="28"/>
          <w:szCs w:val="28"/>
        </w:rPr>
        <w:fldChar w:fldCharType="separate"/>
      </w:r>
      <w:r>
        <w:rPr>
          <w:rFonts w:hint="eastAsia" w:ascii="仿宋_GB2312" w:hAnsi="宋体" w:eastAsia="仿宋_GB2312"/>
          <w:color w:val="000000"/>
          <w:sz w:val="28"/>
          <w:szCs w:val="28"/>
        </w:rPr>
        <w:t>渗井</w:t>
      </w:r>
      <w:r>
        <w:rPr>
          <w:rFonts w:hint="eastAsia" w:ascii="仿宋_GB2312" w:hAnsi="宋体" w:eastAsia="仿宋_GB2312"/>
          <w:color w:val="000000"/>
          <w:sz w:val="28"/>
          <w:szCs w:val="28"/>
        </w:rPr>
        <w:fldChar w:fldCharType="end"/>
      </w:r>
      <w:r>
        <w:rPr>
          <w:rFonts w:hint="eastAsia" w:ascii="仿宋_GB2312" w:hAnsi="宋体" w:eastAsia="仿宋_GB2312"/>
          <w:color w:val="000000"/>
          <w:sz w:val="28"/>
          <w:szCs w:val="28"/>
        </w:rPr>
        <w:t>、渗坑、裂隙、溶洞等排放、倾倒、处置水污染物，或者通过私设旁路排放</w:t>
      </w:r>
      <w:r>
        <w:rPr>
          <w:rFonts w:hint="eastAsia" w:ascii="仿宋_GB2312" w:hAnsi="宋体" w:eastAsia="仿宋_GB2312"/>
          <w:color w:val="000000"/>
          <w:sz w:val="28"/>
          <w:szCs w:val="28"/>
        </w:rPr>
        <w:fldChar w:fldCharType="begin"/>
      </w:r>
      <w:r>
        <w:rPr>
          <w:rFonts w:hint="eastAsia" w:ascii="仿宋_GB2312" w:hAnsi="宋体" w:eastAsia="仿宋_GB2312"/>
          <w:color w:val="000000"/>
          <w:sz w:val="28"/>
          <w:szCs w:val="28"/>
        </w:rPr>
        <w:instrText xml:space="preserve"> HYPERLINK "https://baike.sogou.com/m/fullLemma?lid=7758328&amp;g_ut=3" \t "https://baike.sogou.com/m/_blank" </w:instrText>
      </w:r>
      <w:r>
        <w:rPr>
          <w:rFonts w:hint="eastAsia" w:ascii="仿宋_GB2312" w:hAnsi="宋体" w:eastAsia="仿宋_GB2312"/>
          <w:color w:val="000000"/>
          <w:sz w:val="28"/>
          <w:szCs w:val="28"/>
        </w:rPr>
        <w:fldChar w:fldCharType="separate"/>
      </w:r>
      <w:r>
        <w:rPr>
          <w:rFonts w:hint="eastAsia" w:ascii="仿宋_GB2312" w:hAnsi="宋体" w:eastAsia="仿宋_GB2312"/>
          <w:color w:val="000000"/>
          <w:sz w:val="28"/>
          <w:szCs w:val="28"/>
        </w:rPr>
        <w:t>大气污染物</w:t>
      </w:r>
      <w:r>
        <w:rPr>
          <w:rFonts w:hint="eastAsia" w:ascii="仿宋_GB2312" w:hAnsi="宋体" w:eastAsia="仿宋_GB2312"/>
          <w:color w:val="000000"/>
          <w:sz w:val="28"/>
          <w:szCs w:val="28"/>
        </w:rPr>
        <w:fldChar w:fldCharType="end"/>
      </w:r>
      <w:r>
        <w:rPr>
          <w:rFonts w:hint="eastAsia" w:ascii="仿宋_GB2312" w:hAnsi="宋体" w:eastAsia="仿宋_GB2312"/>
          <w:color w:val="000000"/>
          <w:sz w:val="28"/>
          <w:szCs w:val="28"/>
        </w:rPr>
        <w:t>的；</w:t>
      </w:r>
    </w:p>
    <w:p w14:paraId="592A3B3A">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（七）非法排放、倾倒、处置危险废物，或者向无</w:t>
      </w:r>
      <w:r>
        <w:rPr>
          <w:rFonts w:hint="eastAsia" w:ascii="仿宋_GB2312" w:hAnsi="宋体" w:eastAsia="仿宋_GB2312"/>
          <w:color w:val="000000"/>
          <w:sz w:val="28"/>
          <w:szCs w:val="28"/>
        </w:rPr>
        <w:fldChar w:fldCharType="begin"/>
      </w:r>
      <w:r>
        <w:rPr>
          <w:rFonts w:hint="eastAsia" w:ascii="仿宋_GB2312" w:hAnsi="宋体" w:eastAsia="仿宋_GB2312"/>
          <w:color w:val="000000"/>
          <w:sz w:val="28"/>
          <w:szCs w:val="28"/>
        </w:rPr>
        <w:instrText xml:space="preserve"> HYPERLINK "https://baike.sogou.com/m/fullLemma?lid=5923292&amp;g_ut=3" \t "https://baike.sogou.com/m/_blank" </w:instrText>
      </w:r>
      <w:r>
        <w:rPr>
          <w:rFonts w:hint="eastAsia" w:ascii="仿宋_GB2312" w:hAnsi="宋体" w:eastAsia="仿宋_GB2312"/>
          <w:color w:val="000000"/>
          <w:sz w:val="28"/>
          <w:szCs w:val="28"/>
        </w:rPr>
        <w:fldChar w:fldCharType="separate"/>
      </w:r>
      <w:r>
        <w:rPr>
          <w:rFonts w:hint="eastAsia" w:ascii="仿宋_GB2312" w:hAnsi="宋体" w:eastAsia="仿宋_GB2312"/>
          <w:color w:val="000000"/>
          <w:sz w:val="28"/>
          <w:szCs w:val="28"/>
        </w:rPr>
        <w:t>经营许可证</w:t>
      </w:r>
      <w:r>
        <w:rPr>
          <w:rFonts w:hint="eastAsia" w:ascii="仿宋_GB2312" w:hAnsi="宋体" w:eastAsia="仿宋_GB2312"/>
          <w:color w:val="000000"/>
          <w:sz w:val="28"/>
          <w:szCs w:val="28"/>
        </w:rPr>
        <w:fldChar w:fldCharType="end"/>
      </w:r>
      <w:r>
        <w:rPr>
          <w:rFonts w:hint="eastAsia" w:ascii="仿宋_GB2312" w:hAnsi="宋体" w:eastAsia="仿宋_GB2312"/>
          <w:color w:val="000000"/>
          <w:sz w:val="28"/>
          <w:szCs w:val="28"/>
        </w:rPr>
        <w:t>或者超出经营许可范围的单位或个人提供或者委托其收集、贮存、利用、处置危险废物的；</w:t>
      </w:r>
    </w:p>
    <w:p w14:paraId="2948D96F">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（八）</w:t>
      </w:r>
      <w:r>
        <w:rPr>
          <w:rFonts w:hint="eastAsia" w:ascii="仿宋_GB2312" w:hAnsi="宋体" w:eastAsia="仿宋_GB2312"/>
          <w:color w:val="000000"/>
          <w:sz w:val="28"/>
          <w:szCs w:val="28"/>
        </w:rPr>
        <w:fldChar w:fldCharType="begin"/>
      </w:r>
      <w:r>
        <w:rPr>
          <w:rFonts w:hint="eastAsia" w:ascii="仿宋_GB2312" w:hAnsi="宋体" w:eastAsia="仿宋_GB2312"/>
          <w:color w:val="000000"/>
          <w:sz w:val="28"/>
          <w:szCs w:val="28"/>
        </w:rPr>
        <w:instrText xml:space="preserve"> HYPERLINK "https://baike.sogou.com/m/fullLemma?lid=167759803&amp;g_ut=3" \t "https://baike.sogou.com/m/_blank" </w:instrText>
      </w:r>
      <w:r>
        <w:rPr>
          <w:rFonts w:hint="eastAsia" w:ascii="仿宋_GB2312" w:hAnsi="宋体" w:eastAsia="仿宋_GB2312"/>
          <w:color w:val="000000"/>
          <w:sz w:val="28"/>
          <w:szCs w:val="28"/>
        </w:rPr>
        <w:fldChar w:fldCharType="separate"/>
      </w:r>
      <w:r>
        <w:rPr>
          <w:rFonts w:hint="eastAsia" w:ascii="仿宋_GB2312" w:hAnsi="宋体" w:eastAsia="仿宋_GB2312"/>
          <w:color w:val="000000"/>
          <w:sz w:val="28"/>
          <w:szCs w:val="28"/>
        </w:rPr>
        <w:t>环境违法行为</w:t>
      </w:r>
      <w:r>
        <w:rPr>
          <w:rFonts w:hint="eastAsia" w:ascii="仿宋_GB2312" w:hAnsi="宋体" w:eastAsia="仿宋_GB2312"/>
          <w:color w:val="000000"/>
          <w:sz w:val="28"/>
          <w:szCs w:val="28"/>
        </w:rPr>
        <w:fldChar w:fldCharType="end"/>
      </w:r>
      <w:r>
        <w:rPr>
          <w:rFonts w:hint="eastAsia" w:ascii="仿宋_GB2312" w:hAnsi="宋体" w:eastAsia="仿宋_GB2312"/>
          <w:color w:val="000000"/>
          <w:sz w:val="28"/>
          <w:szCs w:val="28"/>
        </w:rPr>
        <w:t>造成集中式生活饮用水水源取水中断的；</w:t>
      </w:r>
    </w:p>
    <w:p w14:paraId="7FD56B7D">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（九）环境违法行为对生活饮用水水源保护区、自然保护区、</w:t>
      </w:r>
      <w:r>
        <w:rPr>
          <w:rFonts w:hint="eastAsia" w:ascii="仿宋_GB2312" w:hAnsi="宋体" w:eastAsia="仿宋_GB2312"/>
          <w:color w:val="000000"/>
          <w:sz w:val="28"/>
          <w:szCs w:val="28"/>
        </w:rPr>
        <w:fldChar w:fldCharType="begin"/>
      </w:r>
      <w:r>
        <w:rPr>
          <w:rFonts w:hint="eastAsia" w:ascii="仿宋_GB2312" w:hAnsi="宋体" w:eastAsia="仿宋_GB2312"/>
          <w:color w:val="000000"/>
          <w:sz w:val="28"/>
          <w:szCs w:val="28"/>
        </w:rPr>
        <w:instrText xml:space="preserve"> HYPERLINK "https://baike.sogou.com/m/fullLemma?lid=155199213&amp;g_ut=3" \t "https://baike.sogou.com/m/_blank" </w:instrText>
      </w:r>
      <w:r>
        <w:rPr>
          <w:rFonts w:hint="eastAsia" w:ascii="仿宋_GB2312" w:hAnsi="宋体" w:eastAsia="仿宋_GB2312"/>
          <w:color w:val="000000"/>
          <w:sz w:val="28"/>
          <w:szCs w:val="28"/>
        </w:rPr>
        <w:fldChar w:fldCharType="separate"/>
      </w:r>
      <w:r>
        <w:rPr>
          <w:rFonts w:hint="eastAsia" w:ascii="仿宋_GB2312" w:hAnsi="宋体" w:eastAsia="仿宋_GB2312"/>
          <w:color w:val="000000"/>
          <w:sz w:val="28"/>
          <w:szCs w:val="28"/>
        </w:rPr>
        <w:t>国家重点生态功能区</w:t>
      </w:r>
      <w:r>
        <w:rPr>
          <w:rFonts w:hint="eastAsia" w:ascii="仿宋_GB2312" w:hAnsi="宋体" w:eastAsia="仿宋_GB2312"/>
          <w:color w:val="000000"/>
          <w:sz w:val="28"/>
          <w:szCs w:val="28"/>
        </w:rPr>
        <w:fldChar w:fldCharType="end"/>
      </w:r>
      <w:r>
        <w:rPr>
          <w:rFonts w:hint="eastAsia" w:ascii="仿宋_GB2312" w:hAnsi="宋体" w:eastAsia="仿宋_GB2312"/>
          <w:color w:val="000000"/>
          <w:sz w:val="28"/>
          <w:szCs w:val="28"/>
        </w:rPr>
        <w:t>、风景名胜区、居住功能区、</w:t>
      </w:r>
      <w:r>
        <w:rPr>
          <w:rFonts w:hint="eastAsia" w:ascii="仿宋_GB2312" w:hAnsi="宋体" w:eastAsia="仿宋_GB2312"/>
          <w:color w:val="000000"/>
          <w:sz w:val="28"/>
          <w:szCs w:val="28"/>
        </w:rPr>
        <w:fldChar w:fldCharType="begin"/>
      </w:r>
      <w:r>
        <w:rPr>
          <w:rFonts w:hint="eastAsia" w:ascii="仿宋_GB2312" w:hAnsi="宋体" w:eastAsia="仿宋_GB2312"/>
          <w:color w:val="000000"/>
          <w:sz w:val="28"/>
          <w:szCs w:val="28"/>
        </w:rPr>
        <w:instrText xml:space="preserve"> HYPERLINK "https://baike.sogou.com/m/fullLemma?lid=7757164&amp;g_ut=3" \t "https://baike.sogou.com/m/_blank" </w:instrText>
      </w:r>
      <w:r>
        <w:rPr>
          <w:rFonts w:hint="eastAsia" w:ascii="仿宋_GB2312" w:hAnsi="宋体" w:eastAsia="仿宋_GB2312"/>
          <w:color w:val="000000"/>
          <w:sz w:val="28"/>
          <w:szCs w:val="28"/>
        </w:rPr>
        <w:fldChar w:fldCharType="separate"/>
      </w:r>
      <w:r>
        <w:rPr>
          <w:rFonts w:hint="eastAsia" w:ascii="仿宋_GB2312" w:hAnsi="宋体" w:eastAsia="仿宋_GB2312"/>
          <w:color w:val="000000"/>
          <w:sz w:val="28"/>
          <w:szCs w:val="28"/>
        </w:rPr>
        <w:t>基本农田保护区</w:t>
      </w:r>
      <w:r>
        <w:rPr>
          <w:rFonts w:hint="eastAsia" w:ascii="仿宋_GB2312" w:hAnsi="宋体" w:eastAsia="仿宋_GB2312"/>
          <w:color w:val="000000"/>
          <w:sz w:val="28"/>
          <w:szCs w:val="28"/>
        </w:rPr>
        <w:fldChar w:fldCharType="end"/>
      </w:r>
      <w:r>
        <w:rPr>
          <w:rFonts w:hint="eastAsia" w:ascii="仿宋_GB2312" w:hAnsi="宋体" w:eastAsia="仿宋_GB2312"/>
          <w:color w:val="000000"/>
          <w:sz w:val="28"/>
          <w:szCs w:val="28"/>
        </w:rPr>
        <w:t>等环境敏感区造成重大不利影响的；</w:t>
      </w:r>
    </w:p>
    <w:p w14:paraId="33FDBBF2">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（十）违法从事自然资源开发、交通基础设施建设，以及其他开发建设活动，造成严重生态破坏的；</w:t>
      </w:r>
    </w:p>
    <w:p w14:paraId="0989C6A3">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（十一）发生较大及以上突发环境事件的；</w:t>
      </w:r>
    </w:p>
    <w:p w14:paraId="616BC73B">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（十二）被环保部门挂牌督办，整改逾期未完成的；</w:t>
      </w:r>
    </w:p>
    <w:p w14:paraId="1A089292">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（十三）以暴力、威胁等方式拒绝、阻挠环保部门工作人员现场检查的；</w:t>
      </w:r>
    </w:p>
    <w:p w14:paraId="7DC0D408">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（十四）违反重污染天气应急预案有关规定，对重污染天气响应不力的。</w:t>
      </w:r>
    </w:p>
    <w:p w14:paraId="1B2E109B">
      <w:pPr>
        <w:adjustRightInd w:val="0"/>
        <w:snapToGrid w:val="0"/>
        <w:spacing w:line="560" w:lineRule="exact"/>
        <w:ind w:firstLine="645"/>
        <w:jc w:val="left"/>
        <w:rPr>
          <w:rFonts w:hint="eastAsia" w:ascii="仿宋_GB2312" w:hAnsi="宋体" w:eastAsia="仿宋_GB2312"/>
          <w:b/>
          <w:color w:val="000000"/>
          <w:sz w:val="28"/>
          <w:szCs w:val="28"/>
        </w:rPr>
      </w:pPr>
      <w:r>
        <w:rPr>
          <w:rFonts w:hint="eastAsia" w:ascii="仿宋_GB2312" w:hAnsi="宋体" w:eastAsia="仿宋_GB2312"/>
          <w:b/>
          <w:color w:val="000000"/>
          <w:sz w:val="28"/>
          <w:szCs w:val="28"/>
        </w:rPr>
        <w:t>依据：《关于对环境保护领域失信生产经营单位及其有关人员开展联合惩戒的合作备忘录》、《企业环境信用评价办法（试行）》（环发〔2013〕150号）</w:t>
      </w:r>
    </w:p>
    <w:p w14:paraId="2469E327">
      <w:pPr>
        <w:adjustRightInd w:val="0"/>
        <w:snapToGrid w:val="0"/>
        <w:spacing w:line="560" w:lineRule="exact"/>
        <w:ind w:firstLine="645"/>
        <w:jc w:val="left"/>
        <w:rPr>
          <w:rFonts w:hint="eastAsia" w:ascii="仿宋_GB2312" w:hAnsi="宋体" w:eastAsia="仿宋_GB2312"/>
          <w:b/>
          <w:color w:val="000000"/>
          <w:sz w:val="28"/>
          <w:szCs w:val="28"/>
        </w:rPr>
      </w:pPr>
    </w:p>
    <w:p w14:paraId="79CA6F84">
      <w:pPr>
        <w:adjustRightInd w:val="0"/>
        <w:snapToGrid w:val="0"/>
        <w:spacing w:line="560" w:lineRule="exact"/>
        <w:ind w:firstLine="645"/>
        <w:jc w:val="left"/>
        <w:rPr>
          <w:rFonts w:hint="eastAsia" w:ascii="仿宋_GB2312" w:hAnsi="宋体" w:eastAsia="仿宋_GB2312"/>
          <w:b/>
          <w:color w:val="000000"/>
          <w:sz w:val="28"/>
          <w:szCs w:val="28"/>
        </w:rPr>
      </w:pPr>
      <w:r>
        <w:rPr>
          <w:rFonts w:hint="eastAsia" w:ascii="仿宋_GB2312" w:hAnsi="宋体" w:eastAsia="仿宋_GB2312"/>
          <w:b/>
          <w:color w:val="000000"/>
          <w:sz w:val="28"/>
          <w:szCs w:val="28"/>
        </w:rPr>
        <w:t>三、</w:t>
      </w:r>
      <w:r>
        <w:rPr>
          <w:rFonts w:hint="eastAsia" w:ascii="仿宋_GB2312" w:hAnsi="宋体" w:eastAsia="仿宋_GB2312"/>
          <w:b/>
          <w:bCs/>
          <w:color w:val="000000"/>
          <w:sz w:val="28"/>
          <w:szCs w:val="28"/>
        </w:rPr>
        <w:t>公共资源交易领域严重失信行为</w:t>
      </w:r>
    </w:p>
    <w:p w14:paraId="7B653529">
      <w:pPr>
        <w:adjustRightInd w:val="0"/>
        <w:snapToGrid w:val="0"/>
        <w:spacing w:line="560" w:lineRule="exact"/>
        <w:ind w:firstLine="645"/>
        <w:jc w:val="left"/>
        <w:rPr>
          <w:rFonts w:hint="eastAsia" w:ascii="仿宋_GB2312" w:eastAsia="仿宋_GB2312"/>
          <w:color w:val="000000"/>
          <w:sz w:val="28"/>
          <w:szCs w:val="28"/>
        </w:rPr>
      </w:pPr>
      <w:r>
        <w:rPr>
          <w:rFonts w:hint="eastAsia" w:ascii="仿宋_GB2312" w:eastAsia="仿宋_GB2312"/>
          <w:color w:val="000000"/>
          <w:sz w:val="28"/>
          <w:szCs w:val="28"/>
        </w:rPr>
        <w:t xml:space="preserve">（一）违反法律规定，必须进行招标的项目而不招标的，将必须进行招标的项目化整为零或者以其他任何方式规避招标的； </w:t>
      </w:r>
    </w:p>
    <w:p w14:paraId="30CB3220">
      <w:pPr>
        <w:adjustRightInd w:val="0"/>
        <w:snapToGrid w:val="0"/>
        <w:spacing w:line="560" w:lineRule="exact"/>
        <w:ind w:firstLine="645"/>
        <w:jc w:val="left"/>
        <w:rPr>
          <w:rFonts w:hint="eastAsia" w:ascii="仿宋_GB2312" w:eastAsia="仿宋_GB2312"/>
          <w:color w:val="000000"/>
          <w:sz w:val="28"/>
          <w:szCs w:val="28"/>
        </w:rPr>
      </w:pPr>
      <w:r>
        <w:rPr>
          <w:rFonts w:hint="eastAsia" w:ascii="仿宋_GB2312" w:eastAsia="仿宋_GB2312"/>
          <w:color w:val="000000"/>
          <w:sz w:val="28"/>
          <w:szCs w:val="28"/>
        </w:rPr>
        <w:t>（二）招标代理机构违反法律规定，泄露应当保密的与招标投标活动有关的情况和资料的，或者与招标人、投标人串通损害 国家利益、社会公共利益或者他人合法权益的；</w:t>
      </w:r>
    </w:p>
    <w:p w14:paraId="552AFD35">
      <w:pPr>
        <w:adjustRightInd w:val="0"/>
        <w:snapToGrid w:val="0"/>
        <w:spacing w:line="56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（三）招标人以不合理的条件限制或者排斥潜在投标人的，对潜在投标人实行歧视待遇的，强制要求投标人组成联合体共同 投标的，或者限制投标人之间竞争的；</w:t>
      </w:r>
    </w:p>
    <w:p w14:paraId="602596E5">
      <w:pPr>
        <w:adjustRightInd w:val="0"/>
        <w:snapToGrid w:val="0"/>
        <w:spacing w:line="56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（四）依法必须进行招标的项目的招标人向他人透露已获取招标文件的潜在投标人的名称、数量或者可能影响公平竞争的有 关招标投标的其他情况的，或者泄露标底的；</w:t>
      </w:r>
    </w:p>
    <w:p w14:paraId="538257F5">
      <w:pPr>
        <w:adjustRightInd w:val="0"/>
        <w:snapToGrid w:val="0"/>
        <w:spacing w:line="56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 xml:space="preserve">（五）投标人相互串通投标或者与招标人串通投标的，投标人以向招标人或者评标委员会成员行贿的手段谋取中标的； </w:t>
      </w:r>
    </w:p>
    <w:p w14:paraId="0523CDDE">
      <w:pPr>
        <w:adjustRightInd w:val="0"/>
        <w:snapToGrid w:val="0"/>
        <w:spacing w:line="56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（六）投标人以他人名义投标或者以其他方式弄虚作假，骗取中标的；</w:t>
      </w:r>
    </w:p>
    <w:p w14:paraId="31790AB8">
      <w:pPr>
        <w:adjustRightInd w:val="0"/>
        <w:snapToGrid w:val="0"/>
        <w:spacing w:line="56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（七）依法必须进行招标的项目，招标人违反法律规定，与投标人就投标价格、投标方案等实质性内容进行谈判的；</w:t>
      </w:r>
    </w:p>
    <w:p w14:paraId="593BA1DD">
      <w:pPr>
        <w:adjustRightInd w:val="0"/>
        <w:snapToGrid w:val="0"/>
        <w:spacing w:line="560" w:lineRule="exact"/>
        <w:ind w:firstLine="645"/>
        <w:jc w:val="left"/>
        <w:rPr>
          <w:rFonts w:hint="eastAsia" w:ascii="仿宋_GB2312" w:eastAsia="仿宋_GB2312"/>
          <w:color w:val="000000"/>
          <w:sz w:val="28"/>
          <w:szCs w:val="28"/>
        </w:rPr>
      </w:pPr>
      <w:r>
        <w:rPr>
          <w:rFonts w:hint="eastAsia" w:ascii="仿宋_GB2312" w:eastAsia="仿宋_GB2312"/>
          <w:color w:val="000000"/>
          <w:sz w:val="28"/>
          <w:szCs w:val="28"/>
        </w:rPr>
        <w:t xml:space="preserve">（八）评标委员会成员收受投标人的财物或者其他好处的，评标委员会成员或者参加评标的有关工作人员向他人透露对投 标文件的评审和比较、中标候选人的推荐以及与评标有关的其他 情况的； </w:t>
      </w:r>
    </w:p>
    <w:p w14:paraId="4FA0825F">
      <w:pPr>
        <w:adjustRightInd w:val="0"/>
        <w:snapToGrid w:val="0"/>
        <w:spacing w:line="560" w:lineRule="exact"/>
        <w:ind w:firstLine="645"/>
        <w:jc w:val="left"/>
        <w:rPr>
          <w:rFonts w:hint="eastAsia" w:ascii="仿宋_GB2312" w:eastAsia="仿宋_GB2312"/>
          <w:color w:val="000000"/>
          <w:sz w:val="28"/>
          <w:szCs w:val="28"/>
        </w:rPr>
      </w:pPr>
      <w:r>
        <w:rPr>
          <w:rFonts w:hint="eastAsia" w:ascii="仿宋_GB2312" w:eastAsia="仿宋_GB2312"/>
          <w:color w:val="000000"/>
          <w:sz w:val="28"/>
          <w:szCs w:val="28"/>
        </w:rPr>
        <w:t xml:space="preserve">（九）招标人在评标委员会依法推荐的中标候选人以外确定中标人的，依法必须进行招标的项目在所有投标被评标委员会否 决后自行确定中标人的； </w:t>
      </w:r>
    </w:p>
    <w:p w14:paraId="0B9C1B52">
      <w:pPr>
        <w:adjustRightInd w:val="0"/>
        <w:snapToGrid w:val="0"/>
        <w:spacing w:line="560" w:lineRule="exact"/>
        <w:ind w:firstLine="645"/>
        <w:jc w:val="left"/>
        <w:rPr>
          <w:rFonts w:hint="eastAsia" w:ascii="仿宋_GB2312" w:eastAsia="仿宋_GB2312"/>
          <w:color w:val="000000"/>
          <w:sz w:val="28"/>
          <w:szCs w:val="28"/>
        </w:rPr>
      </w:pPr>
      <w:r>
        <w:rPr>
          <w:rFonts w:hint="eastAsia" w:ascii="仿宋_GB2312" w:eastAsia="仿宋_GB2312"/>
          <w:color w:val="000000"/>
          <w:sz w:val="28"/>
          <w:szCs w:val="28"/>
        </w:rPr>
        <w:t xml:space="preserve">（十）中标人将中标项目转让给他人的，将中标项目肢解后分别转让给他人的，违反法律规定将中标项目的部分主体、关键 性工作分包给他人的，或者分包人再次分包的； </w:t>
      </w:r>
    </w:p>
    <w:p w14:paraId="48783FCB">
      <w:pPr>
        <w:adjustRightInd w:val="0"/>
        <w:snapToGrid w:val="0"/>
        <w:spacing w:line="560" w:lineRule="exact"/>
        <w:ind w:firstLine="645"/>
        <w:jc w:val="left"/>
        <w:rPr>
          <w:rFonts w:hint="eastAsia" w:ascii="仿宋_GB2312" w:eastAsia="仿宋_GB2312"/>
          <w:color w:val="000000"/>
          <w:sz w:val="28"/>
          <w:szCs w:val="28"/>
        </w:rPr>
      </w:pPr>
      <w:r>
        <w:rPr>
          <w:rFonts w:hint="eastAsia" w:ascii="仿宋_GB2312" w:eastAsia="仿宋_GB2312"/>
          <w:color w:val="000000"/>
          <w:sz w:val="28"/>
          <w:szCs w:val="28"/>
        </w:rPr>
        <w:t xml:space="preserve">（十一）招标人与中标人不按照招标文件和中标人的投标文件订立合同的，或者招标人、中标人订立背离合同实质性内容的 协议的； </w:t>
      </w:r>
    </w:p>
    <w:p w14:paraId="5CE48211">
      <w:pPr>
        <w:adjustRightInd w:val="0"/>
        <w:snapToGrid w:val="0"/>
        <w:spacing w:line="560" w:lineRule="exact"/>
        <w:ind w:firstLine="645"/>
        <w:jc w:val="left"/>
        <w:rPr>
          <w:rFonts w:hint="eastAsia" w:ascii="仿宋_GB2312" w:eastAsia="仿宋_GB2312"/>
          <w:color w:val="000000"/>
          <w:sz w:val="28"/>
          <w:szCs w:val="28"/>
        </w:rPr>
      </w:pPr>
      <w:r>
        <w:rPr>
          <w:rFonts w:hint="eastAsia" w:ascii="仿宋_GB2312" w:eastAsia="仿宋_GB2312"/>
          <w:color w:val="000000"/>
          <w:sz w:val="28"/>
          <w:szCs w:val="28"/>
        </w:rPr>
        <w:t xml:space="preserve">（十二）中标人不按照与招标人订立的合同履行义务，情节严重的； </w:t>
      </w:r>
    </w:p>
    <w:p w14:paraId="14E20736">
      <w:pPr>
        <w:adjustRightInd w:val="0"/>
        <w:snapToGrid w:val="0"/>
        <w:spacing w:line="560" w:lineRule="exact"/>
        <w:ind w:firstLine="645"/>
        <w:jc w:val="left"/>
        <w:rPr>
          <w:rFonts w:hint="eastAsia" w:ascii="仿宋_GB2312" w:eastAsia="仿宋_GB2312"/>
          <w:color w:val="000000"/>
          <w:sz w:val="28"/>
          <w:szCs w:val="28"/>
        </w:rPr>
      </w:pPr>
      <w:r>
        <w:rPr>
          <w:rFonts w:hint="eastAsia" w:ascii="仿宋_GB2312" w:eastAsia="仿宋_GB2312"/>
          <w:color w:val="000000"/>
          <w:sz w:val="28"/>
          <w:szCs w:val="28"/>
        </w:rPr>
        <w:t>（十三）采购人、采购代理机构存在应当采用公开招标方式而擅自采用其他方式采购，擅自提高采购标准，以不合理的条件 对供应商实行差别待遇或者歧视待遇，在招标采购过程中与投标 人进行协商谈判，中标、成交通知书发出后不与中标、成交供应商签订采购合同，或者拒绝有关部门依法实施监督检查等情形的；</w:t>
      </w:r>
    </w:p>
    <w:p w14:paraId="7DFF077C">
      <w:pPr>
        <w:adjustRightInd w:val="0"/>
        <w:snapToGrid w:val="0"/>
        <w:spacing w:line="560" w:lineRule="exact"/>
        <w:ind w:firstLine="645"/>
        <w:jc w:val="left"/>
        <w:rPr>
          <w:rFonts w:hint="eastAsia" w:ascii="仿宋_GB2312" w:eastAsia="仿宋_GB2312"/>
          <w:color w:val="000000"/>
          <w:sz w:val="28"/>
          <w:szCs w:val="28"/>
        </w:rPr>
      </w:pPr>
      <w:r>
        <w:rPr>
          <w:rFonts w:hint="eastAsia" w:ascii="仿宋_GB2312" w:eastAsia="仿宋_GB2312"/>
          <w:color w:val="000000"/>
          <w:sz w:val="28"/>
          <w:szCs w:val="28"/>
        </w:rPr>
        <w:t xml:space="preserve"> （十四）采购人、采购代理机构及其工作人员存在与供应商 或者采购代理机构恶意串通，在采购过程中接受贿赂或者获取其 他不正当利益，在有关部门依法实施的监督检查中提供虚假情况， 或者开标前泄露标底等情形的；</w:t>
      </w:r>
    </w:p>
    <w:p w14:paraId="499214CA">
      <w:pPr>
        <w:adjustRightInd w:val="0"/>
        <w:snapToGrid w:val="0"/>
        <w:spacing w:line="560" w:lineRule="exact"/>
        <w:ind w:firstLine="645"/>
        <w:jc w:val="left"/>
        <w:rPr>
          <w:rFonts w:hint="eastAsia" w:ascii="仿宋_GB2312" w:eastAsia="仿宋_GB2312"/>
          <w:color w:val="000000"/>
          <w:sz w:val="28"/>
          <w:szCs w:val="28"/>
        </w:rPr>
      </w:pPr>
      <w:r>
        <w:rPr>
          <w:rFonts w:hint="eastAsia" w:ascii="仿宋_GB2312" w:eastAsia="仿宋_GB2312"/>
          <w:color w:val="000000"/>
          <w:sz w:val="28"/>
          <w:szCs w:val="28"/>
        </w:rPr>
        <w:t xml:space="preserve"> （十五）采购人对应当实行集中采购的政府采购项目，不委托集中采购机构实行集中采购的； </w:t>
      </w:r>
    </w:p>
    <w:p w14:paraId="667BE2FC">
      <w:pPr>
        <w:adjustRightInd w:val="0"/>
        <w:snapToGrid w:val="0"/>
        <w:spacing w:line="560" w:lineRule="exact"/>
        <w:ind w:firstLine="645"/>
        <w:jc w:val="left"/>
        <w:rPr>
          <w:rFonts w:hint="eastAsia" w:ascii="仿宋_GB2312" w:eastAsia="仿宋_GB2312"/>
          <w:color w:val="000000"/>
          <w:sz w:val="28"/>
          <w:szCs w:val="28"/>
        </w:rPr>
      </w:pPr>
      <w:r>
        <w:rPr>
          <w:rFonts w:hint="eastAsia" w:ascii="仿宋_GB2312" w:eastAsia="仿宋_GB2312"/>
          <w:color w:val="000000"/>
          <w:sz w:val="28"/>
          <w:szCs w:val="28"/>
        </w:rPr>
        <w:t xml:space="preserve">（十六）采购人、采购代理机构违反法律规定隐匿、销毁应当保存的采购文件或者伪造、变造采购文件的； </w:t>
      </w:r>
    </w:p>
    <w:p w14:paraId="3A476580">
      <w:pPr>
        <w:adjustRightInd w:val="0"/>
        <w:snapToGrid w:val="0"/>
        <w:spacing w:line="560" w:lineRule="exact"/>
        <w:ind w:firstLine="645"/>
        <w:jc w:val="left"/>
        <w:rPr>
          <w:rFonts w:hint="eastAsia" w:ascii="仿宋_GB2312" w:eastAsia="仿宋_GB2312"/>
          <w:color w:val="000000"/>
          <w:sz w:val="28"/>
          <w:szCs w:val="28"/>
        </w:rPr>
      </w:pPr>
      <w:r>
        <w:rPr>
          <w:rFonts w:hint="eastAsia" w:ascii="仿宋_GB2312" w:eastAsia="仿宋_GB2312"/>
          <w:color w:val="000000"/>
          <w:sz w:val="28"/>
          <w:szCs w:val="28"/>
        </w:rPr>
        <w:t xml:space="preserve">（十七）供应商存在提供虚假材料谋取中标、成交，采取不 正当手段诋毁、排挤其他供应商，与采购人、其他供应商或者采 购代理机构恶意串通，向采购人、采购代理机构行贿或者提供其 他不正当利益，在招标采购过程中与采购人进行协商谈判，或拒 绝有关部门监督检查或者提供虚假情况等情形的； </w:t>
      </w:r>
    </w:p>
    <w:p w14:paraId="740C1307">
      <w:pPr>
        <w:adjustRightInd w:val="0"/>
        <w:snapToGrid w:val="0"/>
        <w:spacing w:line="560" w:lineRule="exact"/>
        <w:ind w:left="141" w:leftChars="67" w:firstLine="420" w:firstLineChars="150"/>
        <w:jc w:val="left"/>
        <w:rPr>
          <w:rFonts w:hint="eastAsia" w:ascii="仿宋_GB2312" w:eastAsia="仿宋_GB2312"/>
          <w:color w:val="000000"/>
          <w:sz w:val="28"/>
          <w:szCs w:val="28"/>
        </w:rPr>
      </w:pPr>
      <w:r>
        <w:rPr>
          <w:rFonts w:hint="eastAsia" w:ascii="仿宋_GB2312" w:eastAsia="仿宋_GB2312"/>
          <w:color w:val="000000"/>
          <w:sz w:val="28"/>
          <w:szCs w:val="28"/>
        </w:rPr>
        <w:t xml:space="preserve">（十八）疫苗生产企业向县级疾病预防控制机构以外的单位或者个人销售第二类疫苗的； </w:t>
      </w:r>
    </w:p>
    <w:p w14:paraId="536554FB">
      <w:pPr>
        <w:adjustRightInd w:val="0"/>
        <w:snapToGrid w:val="0"/>
        <w:spacing w:line="560" w:lineRule="exact"/>
        <w:ind w:left="141" w:leftChars="67" w:firstLine="420" w:firstLineChars="150"/>
        <w:jc w:val="left"/>
        <w:rPr>
          <w:rFonts w:hint="eastAsia" w:ascii="仿宋_GB2312" w:hAnsi="宋体" w:eastAsia="仿宋_GB2312"/>
          <w:color w:val="000000"/>
          <w:sz w:val="28"/>
          <w:szCs w:val="28"/>
        </w:rPr>
      </w:pPr>
      <w:r>
        <w:rPr>
          <w:rFonts w:hint="eastAsia" w:ascii="仿宋_GB2312" w:eastAsia="仿宋_GB2312"/>
          <w:color w:val="000000"/>
          <w:sz w:val="28"/>
          <w:szCs w:val="28"/>
        </w:rPr>
        <w:t>（十九）存在其他违反公共资源交易法律法规行为的。</w:t>
      </w:r>
    </w:p>
    <w:p w14:paraId="160E9DC9">
      <w:pPr>
        <w:adjustRightInd w:val="0"/>
        <w:snapToGrid w:val="0"/>
        <w:spacing w:line="560" w:lineRule="exact"/>
        <w:ind w:firstLine="894" w:firstLineChars="318"/>
        <w:jc w:val="left"/>
        <w:rPr>
          <w:rFonts w:hint="eastAsia" w:ascii="仿宋_GB2312" w:hAnsi="宋体" w:eastAsia="仿宋_GB2312"/>
          <w:b/>
          <w:color w:val="000000"/>
          <w:sz w:val="28"/>
          <w:szCs w:val="28"/>
        </w:rPr>
      </w:pPr>
      <w:r>
        <w:rPr>
          <w:rFonts w:hint="eastAsia" w:ascii="仿宋_GB2312" w:hAnsi="宋体" w:eastAsia="仿宋_GB2312"/>
          <w:b/>
          <w:color w:val="000000"/>
          <w:sz w:val="28"/>
          <w:szCs w:val="28"/>
        </w:rPr>
        <w:t>依据：《关于对公共资源交易领域严重失信主体开展联合惩戒的备忘录》（发改法规〔2018〕457号）</w:t>
      </w:r>
    </w:p>
    <w:p w14:paraId="79C3EEE4">
      <w:pPr>
        <w:adjustRightInd w:val="0"/>
        <w:snapToGrid w:val="0"/>
        <w:spacing w:line="560" w:lineRule="exact"/>
        <w:ind w:firstLine="645"/>
        <w:jc w:val="left"/>
        <w:rPr>
          <w:rFonts w:hint="eastAsia" w:ascii="仿宋_GB2312" w:hAnsi="宋体" w:eastAsia="仿宋_GB2312"/>
          <w:color w:val="000000"/>
          <w:sz w:val="28"/>
          <w:szCs w:val="28"/>
        </w:rPr>
      </w:pPr>
    </w:p>
    <w:p w14:paraId="00B7ABBA">
      <w:pPr>
        <w:adjustRightInd w:val="0"/>
        <w:snapToGrid w:val="0"/>
        <w:spacing w:line="560" w:lineRule="exact"/>
        <w:ind w:firstLine="645"/>
        <w:jc w:val="left"/>
        <w:rPr>
          <w:rFonts w:hint="eastAsia" w:ascii="仿宋_GB2312" w:hAnsi="宋体" w:eastAsia="仿宋_GB2312"/>
          <w:b/>
          <w:bCs/>
          <w:color w:val="000000"/>
          <w:sz w:val="28"/>
          <w:szCs w:val="28"/>
        </w:rPr>
      </w:pPr>
      <w:r>
        <w:rPr>
          <w:rFonts w:hint="eastAsia" w:ascii="仿宋_GB2312" w:hAnsi="宋体" w:eastAsia="仿宋_GB2312"/>
          <w:b/>
          <w:color w:val="000000"/>
          <w:sz w:val="28"/>
          <w:szCs w:val="28"/>
        </w:rPr>
        <w:t>四、</w:t>
      </w:r>
      <w:r>
        <w:rPr>
          <w:rFonts w:hint="eastAsia" w:ascii="仿宋_GB2312" w:hAnsi="宋体" w:eastAsia="仿宋_GB2312"/>
          <w:b/>
          <w:bCs/>
          <w:color w:val="000000"/>
          <w:sz w:val="28"/>
          <w:szCs w:val="28"/>
        </w:rPr>
        <w:t>社会保险领域严重失信行为</w:t>
      </w:r>
    </w:p>
    <w:p w14:paraId="2447D28D">
      <w:pPr>
        <w:adjustRightInd w:val="0"/>
        <w:snapToGrid w:val="0"/>
        <w:spacing w:line="560" w:lineRule="exact"/>
        <w:ind w:left="141" w:leftChars="67" w:firstLine="420" w:firstLineChars="150"/>
        <w:jc w:val="left"/>
        <w:rPr>
          <w:rFonts w:hint="eastAsia" w:ascii="仿宋_GB2312" w:eastAsia="仿宋_GB2312"/>
          <w:color w:val="000000"/>
          <w:sz w:val="28"/>
          <w:szCs w:val="28"/>
        </w:rPr>
      </w:pPr>
      <w:r>
        <w:rPr>
          <w:rFonts w:hint="eastAsia" w:ascii="仿宋_GB2312" w:eastAsia="仿宋_GB2312"/>
          <w:color w:val="000000"/>
          <w:sz w:val="28"/>
          <w:szCs w:val="28"/>
        </w:rPr>
        <w:t xml:space="preserve">（一）用人单位未按相关规定参加社会保险且拒不整改的； </w:t>
      </w:r>
    </w:p>
    <w:p w14:paraId="67432333">
      <w:pPr>
        <w:adjustRightInd w:val="0"/>
        <w:snapToGrid w:val="0"/>
        <w:spacing w:line="560" w:lineRule="exact"/>
        <w:ind w:left="141" w:leftChars="67" w:firstLine="420" w:firstLineChars="150"/>
        <w:jc w:val="left"/>
        <w:rPr>
          <w:rFonts w:hint="eastAsia" w:ascii="仿宋_GB2312" w:eastAsia="仿宋_GB2312"/>
          <w:color w:val="000000"/>
          <w:sz w:val="28"/>
          <w:szCs w:val="28"/>
        </w:rPr>
      </w:pPr>
      <w:r>
        <w:rPr>
          <w:rFonts w:hint="eastAsia" w:ascii="仿宋_GB2312" w:eastAsia="仿宋_GB2312"/>
          <w:color w:val="000000"/>
          <w:sz w:val="28"/>
          <w:szCs w:val="28"/>
        </w:rPr>
        <w:t xml:space="preserve">（二）用人单位未如实申报社会保险缴费基数且拒不整改的； </w:t>
      </w:r>
    </w:p>
    <w:p w14:paraId="63ED9950">
      <w:pPr>
        <w:adjustRightInd w:val="0"/>
        <w:snapToGrid w:val="0"/>
        <w:spacing w:line="560" w:lineRule="exact"/>
        <w:ind w:left="141" w:leftChars="67" w:firstLine="420" w:firstLineChars="150"/>
        <w:jc w:val="left"/>
        <w:rPr>
          <w:rFonts w:hint="eastAsia" w:ascii="仿宋_GB2312" w:eastAsia="仿宋_GB2312"/>
          <w:color w:val="000000"/>
          <w:sz w:val="28"/>
          <w:szCs w:val="28"/>
        </w:rPr>
      </w:pPr>
      <w:r>
        <w:rPr>
          <w:rFonts w:hint="eastAsia" w:ascii="仿宋_GB2312" w:eastAsia="仿宋_GB2312"/>
          <w:color w:val="000000"/>
          <w:sz w:val="28"/>
          <w:szCs w:val="28"/>
        </w:rPr>
        <w:t xml:space="preserve">（三）应缴纳社会保险费却拒不缴纳的； </w:t>
      </w:r>
    </w:p>
    <w:p w14:paraId="3AA3B9A6">
      <w:pPr>
        <w:adjustRightInd w:val="0"/>
        <w:snapToGrid w:val="0"/>
        <w:spacing w:line="560" w:lineRule="exact"/>
        <w:ind w:left="141" w:leftChars="67" w:firstLine="420" w:firstLineChars="150"/>
        <w:jc w:val="left"/>
        <w:rPr>
          <w:rFonts w:hint="eastAsia" w:ascii="仿宋_GB2312" w:eastAsia="仿宋_GB2312"/>
          <w:color w:val="000000"/>
          <w:sz w:val="28"/>
          <w:szCs w:val="28"/>
        </w:rPr>
      </w:pPr>
      <w:r>
        <w:rPr>
          <w:rFonts w:hint="eastAsia" w:ascii="仿宋_GB2312" w:eastAsia="仿宋_GB2312"/>
          <w:color w:val="000000"/>
          <w:sz w:val="28"/>
          <w:szCs w:val="28"/>
        </w:rPr>
        <w:t>（四）隐匿、转移、侵占、挪用社会保险费款、基金或者违规投资运营的；</w:t>
      </w:r>
    </w:p>
    <w:p w14:paraId="0AABFCCC">
      <w:pPr>
        <w:adjustRightInd w:val="0"/>
        <w:snapToGrid w:val="0"/>
        <w:spacing w:line="560" w:lineRule="exact"/>
        <w:ind w:left="141" w:leftChars="67" w:firstLine="420" w:firstLineChars="150"/>
        <w:jc w:val="left"/>
        <w:rPr>
          <w:rFonts w:hint="eastAsia" w:ascii="仿宋_GB2312" w:eastAsia="仿宋_GB2312"/>
          <w:color w:val="000000"/>
          <w:sz w:val="28"/>
          <w:szCs w:val="28"/>
        </w:rPr>
      </w:pPr>
      <w:r>
        <w:rPr>
          <w:rFonts w:hint="eastAsia" w:ascii="仿宋_GB2312" w:eastAsia="仿宋_GB2312"/>
          <w:color w:val="000000"/>
          <w:sz w:val="28"/>
          <w:szCs w:val="28"/>
        </w:rPr>
        <w:t xml:space="preserve">（五）以欺诈、伪造证明材料或者其他手段参加、申报社会保险和骗取社会保险基金支出或社会保险待遇的； </w:t>
      </w:r>
    </w:p>
    <w:p w14:paraId="25C00085">
      <w:pPr>
        <w:adjustRightInd w:val="0"/>
        <w:snapToGrid w:val="0"/>
        <w:spacing w:line="560" w:lineRule="exact"/>
        <w:ind w:left="141" w:leftChars="67" w:firstLine="420" w:firstLineChars="150"/>
        <w:jc w:val="left"/>
        <w:rPr>
          <w:rFonts w:hint="eastAsia" w:ascii="仿宋_GB2312" w:eastAsia="仿宋_GB2312"/>
          <w:color w:val="000000"/>
          <w:sz w:val="28"/>
          <w:szCs w:val="28"/>
        </w:rPr>
      </w:pPr>
      <w:r>
        <w:rPr>
          <w:rFonts w:hint="eastAsia" w:ascii="仿宋_GB2312" w:eastAsia="仿宋_GB2312"/>
          <w:color w:val="000000"/>
          <w:sz w:val="28"/>
          <w:szCs w:val="28"/>
        </w:rPr>
        <w:t xml:space="preserve">（六）非法获取、出售或变相交易社会保险个人权益数据的； </w:t>
      </w:r>
    </w:p>
    <w:p w14:paraId="1B32DE71">
      <w:pPr>
        <w:adjustRightInd w:val="0"/>
        <w:snapToGrid w:val="0"/>
        <w:spacing w:line="560" w:lineRule="exact"/>
        <w:ind w:left="141" w:leftChars="67" w:firstLine="420" w:firstLineChars="150"/>
        <w:jc w:val="left"/>
        <w:rPr>
          <w:rFonts w:hint="eastAsia" w:ascii="仿宋_GB2312" w:eastAsia="仿宋_GB2312"/>
          <w:color w:val="000000"/>
          <w:sz w:val="28"/>
          <w:szCs w:val="28"/>
        </w:rPr>
      </w:pPr>
      <w:r>
        <w:rPr>
          <w:rFonts w:hint="eastAsia" w:ascii="仿宋_GB2312" w:eastAsia="仿宋_GB2312"/>
          <w:color w:val="000000"/>
          <w:sz w:val="28"/>
          <w:szCs w:val="28"/>
        </w:rPr>
        <w:t xml:space="preserve">（七）社会保险服务机构违反服务协议或相关规定的； </w:t>
      </w:r>
    </w:p>
    <w:p w14:paraId="451B8418">
      <w:pPr>
        <w:adjustRightInd w:val="0"/>
        <w:snapToGrid w:val="0"/>
        <w:spacing w:line="560" w:lineRule="exact"/>
        <w:ind w:left="141" w:leftChars="67" w:firstLine="420" w:firstLineChars="150"/>
        <w:jc w:val="left"/>
        <w:rPr>
          <w:rFonts w:hint="eastAsia" w:ascii="仿宋_GB2312" w:eastAsia="仿宋_GB2312"/>
          <w:color w:val="000000"/>
          <w:sz w:val="28"/>
          <w:szCs w:val="28"/>
        </w:rPr>
      </w:pPr>
      <w:r>
        <w:rPr>
          <w:rFonts w:hint="eastAsia" w:ascii="仿宋_GB2312" w:eastAsia="仿宋_GB2312"/>
          <w:color w:val="000000"/>
          <w:sz w:val="28"/>
          <w:szCs w:val="28"/>
        </w:rPr>
        <w:t xml:space="preserve">（八）拒绝协助社会保险行政部门、经办机构对事故和问题进 行调查核实的；拒绝接受或协助税务部门对社会保险实施监督检查， 不如实提供与社会保险相关各项资料的； </w:t>
      </w:r>
    </w:p>
    <w:p w14:paraId="7CB16BE1">
      <w:pPr>
        <w:adjustRightInd w:val="0"/>
        <w:snapToGrid w:val="0"/>
        <w:spacing w:line="560" w:lineRule="exact"/>
        <w:ind w:left="141" w:leftChars="67" w:firstLine="420" w:firstLineChars="150"/>
        <w:jc w:val="left"/>
        <w:rPr>
          <w:rFonts w:hint="eastAsia" w:ascii="仿宋_GB2312" w:eastAsia="仿宋_GB2312"/>
          <w:color w:val="000000"/>
          <w:sz w:val="28"/>
          <w:szCs w:val="28"/>
        </w:rPr>
      </w:pPr>
      <w:r>
        <w:rPr>
          <w:rFonts w:hint="eastAsia" w:ascii="仿宋_GB2312" w:eastAsia="仿宋_GB2312"/>
          <w:color w:val="000000"/>
          <w:sz w:val="28"/>
          <w:szCs w:val="28"/>
        </w:rPr>
        <w:t>（九）其他违反法律法规规定的。</w:t>
      </w:r>
    </w:p>
    <w:p w14:paraId="07CA7762">
      <w:pPr>
        <w:adjustRightInd w:val="0"/>
        <w:snapToGrid w:val="0"/>
        <w:spacing w:line="560" w:lineRule="exact"/>
        <w:ind w:firstLine="551" w:firstLineChars="196"/>
        <w:jc w:val="left"/>
        <w:rPr>
          <w:rFonts w:hint="eastAsia" w:ascii="仿宋_GB2312" w:eastAsia="仿宋_GB2312"/>
          <w:color w:val="000000"/>
          <w:sz w:val="28"/>
          <w:szCs w:val="28"/>
        </w:rPr>
      </w:pPr>
      <w:r>
        <w:rPr>
          <w:rFonts w:hint="eastAsia" w:ascii="仿宋_GB2312" w:eastAsia="仿宋_GB2312"/>
          <w:b/>
          <w:color w:val="000000"/>
          <w:sz w:val="28"/>
          <w:szCs w:val="28"/>
        </w:rPr>
        <w:t>依据：《关于对社会保险领域严重失信企业及其有关人员实施联合惩戒的合作备忘录》（发改财金〔2018〕1704号）</w:t>
      </w:r>
    </w:p>
    <w:p w14:paraId="28FF18DE">
      <w:pPr>
        <w:adjustRightInd w:val="0"/>
        <w:snapToGrid w:val="0"/>
        <w:spacing w:line="560" w:lineRule="exact"/>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 xml:space="preserve">     </w:t>
      </w:r>
    </w:p>
    <w:p w14:paraId="0A5CF7D4">
      <w:pPr>
        <w:adjustRightInd w:val="0"/>
        <w:snapToGrid w:val="0"/>
        <w:spacing w:line="560" w:lineRule="exact"/>
        <w:ind w:firstLine="562" w:firstLineChars="200"/>
        <w:jc w:val="left"/>
        <w:rPr>
          <w:rFonts w:hint="eastAsia" w:ascii="仿宋_GB2312" w:hAnsi="宋体" w:eastAsia="仿宋_GB2312"/>
          <w:b/>
          <w:bCs/>
          <w:color w:val="000000"/>
          <w:sz w:val="28"/>
          <w:szCs w:val="28"/>
        </w:rPr>
      </w:pPr>
      <w:r>
        <w:rPr>
          <w:rFonts w:hint="eastAsia" w:ascii="仿宋_GB2312" w:hAnsi="宋体" w:eastAsia="仿宋_GB2312"/>
          <w:b/>
          <w:color w:val="000000"/>
          <w:sz w:val="28"/>
          <w:szCs w:val="28"/>
        </w:rPr>
        <w:t>五、建筑市场领域</w:t>
      </w:r>
      <w:r>
        <w:rPr>
          <w:rFonts w:hint="eastAsia" w:ascii="仿宋_GB2312" w:hAnsi="宋体" w:eastAsia="仿宋_GB2312"/>
          <w:b/>
          <w:bCs/>
          <w:color w:val="000000"/>
          <w:sz w:val="28"/>
          <w:szCs w:val="28"/>
        </w:rPr>
        <w:t>严重失信行为</w:t>
      </w:r>
    </w:p>
    <w:p w14:paraId="17E1D377">
      <w:pPr>
        <w:adjustRightInd w:val="0"/>
        <w:snapToGrid w:val="0"/>
        <w:spacing w:line="56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（一）利用虚假材料、以欺骗手段取得企业资质的；</w:t>
      </w:r>
    </w:p>
    <w:p w14:paraId="2D37BE9C">
      <w:pPr>
        <w:adjustRightInd w:val="0"/>
        <w:snapToGrid w:val="0"/>
        <w:spacing w:line="56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（二）发生转包、出借资质，受到行政处罚的；</w:t>
      </w:r>
    </w:p>
    <w:p w14:paraId="73725FB3">
      <w:pPr>
        <w:adjustRightInd w:val="0"/>
        <w:snapToGrid w:val="0"/>
        <w:spacing w:line="56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（三）发生重大及以上工程质量安全事故，或1年内累计发生2次及以上较大工程质量安全事故，或发生性质恶劣、危害性严重、社会影响大的较大工程质量安全事故，受到行政处罚的；</w:t>
      </w:r>
    </w:p>
    <w:p w14:paraId="0D66DD35">
      <w:pPr>
        <w:adjustRightInd w:val="0"/>
        <w:snapToGrid w:val="0"/>
        <w:spacing w:line="56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（四）经法院判决或仲裁机构裁决，认定为拖欠工程款,且拒不履行生效法律文书确定的义务的。</w:t>
      </w:r>
    </w:p>
    <w:p w14:paraId="6883838E">
      <w:pPr>
        <w:adjustRightInd w:val="0"/>
        <w:snapToGrid w:val="0"/>
        <w:spacing w:line="56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各级住房城乡建设主管部门应当参照建筑市场主体“黑名单”，对被人力资源社会保障行政部门列入拖欠农民工工资“黑名单”的建筑市场各方主体加强监管。</w:t>
      </w:r>
    </w:p>
    <w:p w14:paraId="76B6862D">
      <w:pPr>
        <w:ind w:firstLine="562" w:firstLineChars="200"/>
        <w:jc w:val="left"/>
        <w:rPr>
          <w:rFonts w:hint="eastAsia" w:ascii="宋体" w:hAnsi="宋体"/>
          <w:color w:val="000000"/>
          <w:sz w:val="28"/>
          <w:szCs w:val="28"/>
        </w:rPr>
      </w:pPr>
      <w:r>
        <w:rPr>
          <w:rFonts w:hint="eastAsia" w:ascii="仿宋_GB2312" w:eastAsia="仿宋_GB2312"/>
          <w:b/>
          <w:color w:val="000000"/>
          <w:sz w:val="28"/>
          <w:szCs w:val="28"/>
        </w:rPr>
        <w:t>依据：《建筑市场信用管理暂行办法》（建市〔2017〕241号）</w:t>
      </w:r>
    </w:p>
    <w:p w14:paraId="7220A14F">
      <w:pPr>
        <w:adjustRightInd w:val="0"/>
        <w:snapToGrid w:val="0"/>
        <w:spacing w:line="560" w:lineRule="exact"/>
        <w:rPr>
          <w:rFonts w:hint="eastAsia" w:ascii="仿宋_GB2312" w:hAnsi="宋体" w:eastAsia="仿宋_GB2312"/>
          <w:b/>
          <w:color w:val="000000"/>
          <w:sz w:val="28"/>
          <w:szCs w:val="28"/>
        </w:rPr>
      </w:pPr>
    </w:p>
    <w:p w14:paraId="6C8CEE88">
      <w:pPr>
        <w:adjustRightInd w:val="0"/>
        <w:snapToGrid w:val="0"/>
        <w:spacing w:line="560" w:lineRule="exact"/>
        <w:ind w:firstLine="562" w:firstLineChars="200"/>
        <w:rPr>
          <w:rFonts w:hint="eastAsia" w:ascii="仿宋_GB2312" w:hAnsi="宋体" w:eastAsia="仿宋_GB2312"/>
          <w:b/>
          <w:color w:val="000000"/>
          <w:sz w:val="28"/>
          <w:szCs w:val="28"/>
        </w:rPr>
      </w:pPr>
      <w:r>
        <w:rPr>
          <w:rFonts w:hint="eastAsia" w:ascii="仿宋_GB2312" w:hAnsi="宋体" w:eastAsia="仿宋_GB2312"/>
          <w:b/>
          <w:color w:val="000000"/>
          <w:sz w:val="28"/>
          <w:szCs w:val="28"/>
        </w:rPr>
        <w:t>六、政府采购严重失信行为</w:t>
      </w:r>
    </w:p>
    <w:p w14:paraId="7F7AF06B">
      <w:pPr>
        <w:adjustRightInd w:val="0"/>
        <w:snapToGrid w:val="0"/>
        <w:spacing w:line="560" w:lineRule="exact"/>
        <w:ind w:firstLine="615"/>
        <w:rPr>
          <w:rFonts w:hint="eastAsia" w:ascii="仿宋_GB2312" w:eastAsia="仿宋_GB2312"/>
          <w:color w:val="000000"/>
          <w:sz w:val="28"/>
          <w:szCs w:val="28"/>
          <w:lang w:eastAsia="zh-CN"/>
        </w:rPr>
      </w:pPr>
      <w:r>
        <w:rPr>
          <w:rFonts w:hint="eastAsia" w:ascii="仿宋_GB2312" w:eastAsia="仿宋_GB2312"/>
          <w:color w:val="000000"/>
          <w:sz w:val="28"/>
          <w:szCs w:val="28"/>
        </w:rPr>
        <w:t>供应商、采购代理机构在三年内受到财政部门作出下列情形之一的行政处罚，列入政府采购严重违法失信行为记录名单。</w:t>
      </w:r>
    </w:p>
    <w:p w14:paraId="15E73438">
      <w:pPr>
        <w:adjustRightInd w:val="0"/>
        <w:snapToGrid w:val="0"/>
        <w:spacing w:line="560" w:lineRule="exact"/>
        <w:ind w:firstLine="615"/>
        <w:rPr>
          <w:rFonts w:hint="eastAsia" w:ascii="仿宋_GB2312" w:eastAsia="仿宋_GB2312"/>
          <w:color w:val="000000"/>
          <w:sz w:val="28"/>
          <w:szCs w:val="28"/>
          <w:lang w:eastAsia="zh-CN"/>
        </w:rPr>
      </w:pPr>
      <w:r>
        <w:rPr>
          <w:rFonts w:hint="eastAsia" w:ascii="仿宋_GB2312" w:eastAsia="仿宋_GB2312"/>
          <w:color w:val="000000"/>
          <w:sz w:val="28"/>
          <w:szCs w:val="28"/>
        </w:rPr>
        <w:t>　　（一）三万元以上罚款；</w:t>
      </w:r>
    </w:p>
    <w:p w14:paraId="77031E6E">
      <w:pPr>
        <w:adjustRightInd w:val="0"/>
        <w:snapToGrid w:val="0"/>
        <w:spacing w:line="560" w:lineRule="exact"/>
        <w:ind w:firstLine="615"/>
        <w:rPr>
          <w:rFonts w:hint="eastAsia" w:ascii="仿宋_GB2312" w:eastAsia="仿宋_GB2312"/>
          <w:color w:val="000000"/>
          <w:sz w:val="28"/>
          <w:szCs w:val="28"/>
          <w:lang w:eastAsia="zh-CN"/>
        </w:rPr>
      </w:pPr>
      <w:r>
        <w:rPr>
          <w:rFonts w:hint="eastAsia" w:ascii="仿宋_GB2312" w:eastAsia="仿宋_GB2312"/>
          <w:color w:val="000000"/>
          <w:sz w:val="28"/>
          <w:szCs w:val="28"/>
        </w:rPr>
        <w:t>　　（二）在一至三年内禁止参加政府采购活动（处罚期限届满的除外）；</w:t>
      </w:r>
    </w:p>
    <w:p w14:paraId="06F9040A">
      <w:pPr>
        <w:adjustRightInd w:val="0"/>
        <w:snapToGrid w:val="0"/>
        <w:spacing w:line="560" w:lineRule="exact"/>
        <w:ind w:firstLine="615"/>
        <w:rPr>
          <w:rFonts w:hint="eastAsia" w:ascii="仿宋_GB2312" w:eastAsia="仿宋_GB2312"/>
          <w:color w:val="000000"/>
          <w:sz w:val="28"/>
          <w:szCs w:val="28"/>
          <w:lang w:eastAsia="zh-CN"/>
        </w:rPr>
      </w:pPr>
      <w:r>
        <w:rPr>
          <w:rFonts w:hint="eastAsia" w:ascii="仿宋_GB2312" w:eastAsia="仿宋_GB2312"/>
          <w:color w:val="000000"/>
          <w:sz w:val="28"/>
          <w:szCs w:val="28"/>
        </w:rPr>
        <w:t>　　（三）在一至三年内禁止代理政府采购业务（处罚期限届满的除外）；</w:t>
      </w:r>
    </w:p>
    <w:p w14:paraId="67E7EFA2">
      <w:pPr>
        <w:adjustRightInd w:val="0"/>
        <w:snapToGrid w:val="0"/>
        <w:spacing w:line="560" w:lineRule="exact"/>
        <w:ind w:firstLine="615"/>
        <w:rPr>
          <w:rFonts w:hint="eastAsia" w:ascii="仿宋_GB2312" w:eastAsia="仿宋_GB2312"/>
          <w:color w:val="000000"/>
          <w:sz w:val="28"/>
          <w:szCs w:val="28"/>
        </w:rPr>
      </w:pPr>
      <w:r>
        <w:rPr>
          <w:rFonts w:hint="eastAsia" w:ascii="仿宋_GB2312" w:hAnsi="宋体" w:eastAsia="仿宋_GB2312"/>
          <w:color w:val="000000"/>
          <w:sz w:val="28"/>
          <w:szCs w:val="28"/>
        </w:rPr>
        <w:t xml:space="preserve">　 </w:t>
      </w:r>
      <w:r>
        <w:rPr>
          <w:rFonts w:hint="eastAsia" w:ascii="仿宋_GB2312" w:eastAsia="仿宋_GB2312"/>
          <w:color w:val="000000"/>
          <w:sz w:val="28"/>
          <w:szCs w:val="28"/>
        </w:rPr>
        <w:t>（四）撤销政府采购代理机构资格（仅针对《政府采购法》第78条修改前作出的处罚决定）。</w:t>
      </w:r>
    </w:p>
    <w:p w14:paraId="1BAE368E">
      <w:pPr>
        <w:adjustRightInd w:val="0"/>
        <w:snapToGrid w:val="0"/>
        <w:spacing w:line="560" w:lineRule="exact"/>
        <w:ind w:firstLine="562" w:firstLineChars="200"/>
        <w:jc w:val="left"/>
        <w:rPr>
          <w:rFonts w:hint="eastAsia" w:ascii="仿宋_GB2312" w:eastAsia="仿宋_GB2312"/>
          <w:b/>
          <w:color w:val="000000"/>
          <w:sz w:val="28"/>
          <w:szCs w:val="28"/>
        </w:rPr>
      </w:pPr>
      <w:r>
        <w:rPr>
          <w:rFonts w:hint="eastAsia" w:ascii="仿宋_GB2312" w:eastAsia="仿宋_GB2312"/>
          <w:b/>
          <w:color w:val="000000"/>
          <w:sz w:val="28"/>
          <w:szCs w:val="28"/>
        </w:rPr>
        <w:t>依据：《关于报送政府采购严重违法失信行为信息记录的通知》</w:t>
      </w:r>
      <w:r>
        <w:rPr>
          <w:b/>
          <w:color w:val="000000"/>
          <w:sz w:val="28"/>
          <w:szCs w:val="28"/>
        </w:rPr>
        <w:t>（</w:t>
      </w:r>
      <w:r>
        <w:rPr>
          <w:rFonts w:hint="eastAsia"/>
          <w:b/>
          <w:color w:val="000000"/>
          <w:sz w:val="28"/>
          <w:szCs w:val="28"/>
        </w:rPr>
        <w:t>财办库〔</w:t>
      </w:r>
      <w:r>
        <w:rPr>
          <w:b/>
          <w:color w:val="000000"/>
          <w:sz w:val="28"/>
          <w:szCs w:val="28"/>
        </w:rPr>
        <w:t>201</w:t>
      </w:r>
      <w:r>
        <w:rPr>
          <w:rFonts w:hint="eastAsia"/>
          <w:b/>
          <w:color w:val="000000"/>
          <w:sz w:val="28"/>
          <w:szCs w:val="28"/>
        </w:rPr>
        <w:t>4〕526</w:t>
      </w:r>
      <w:r>
        <w:rPr>
          <w:b/>
          <w:color w:val="000000"/>
          <w:sz w:val="28"/>
          <w:szCs w:val="28"/>
        </w:rPr>
        <w:t>号）</w:t>
      </w:r>
    </w:p>
    <w:p w14:paraId="64541870">
      <w:pPr>
        <w:adjustRightInd w:val="0"/>
        <w:snapToGrid w:val="0"/>
        <w:spacing w:line="560" w:lineRule="exact"/>
        <w:ind w:firstLine="562" w:firstLineChars="200"/>
        <w:rPr>
          <w:rFonts w:hint="eastAsia" w:ascii="仿宋_GB2312" w:hAnsi="宋体" w:eastAsia="仿宋_GB2312"/>
          <w:b/>
          <w:color w:val="000000"/>
          <w:sz w:val="28"/>
          <w:szCs w:val="28"/>
        </w:rPr>
      </w:pPr>
    </w:p>
    <w:p w14:paraId="6F87B426">
      <w:pPr>
        <w:adjustRightInd w:val="0"/>
        <w:snapToGrid w:val="0"/>
        <w:spacing w:line="560" w:lineRule="exact"/>
        <w:ind w:firstLine="562" w:firstLineChars="200"/>
        <w:rPr>
          <w:rFonts w:hint="eastAsia" w:ascii="仿宋_GB2312" w:hAnsi="宋体" w:eastAsia="仿宋_GB2312"/>
          <w:b/>
          <w:color w:val="000000"/>
          <w:sz w:val="28"/>
          <w:szCs w:val="28"/>
        </w:rPr>
      </w:pPr>
      <w:r>
        <w:rPr>
          <w:rFonts w:hint="eastAsia" w:ascii="仿宋_GB2312" w:hAnsi="宋体" w:eastAsia="仿宋_GB2312"/>
          <w:b/>
          <w:color w:val="000000"/>
          <w:sz w:val="28"/>
          <w:szCs w:val="28"/>
        </w:rPr>
        <w:t>七、水利建设领域严重失信行为</w:t>
      </w:r>
    </w:p>
    <w:p w14:paraId="22D029FC">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（一）1年内不良行为记录累计扣分达到20分的；</w:t>
      </w:r>
    </w:p>
    <w:p w14:paraId="61DD7A13">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（二）"重点关注名单"公开期满后仍不整改的；</w:t>
      </w:r>
    </w:p>
    <w:p w14:paraId="41361A71">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（三）存在以下严重危害人民群众身体健康、生命安全和工程质量，以及特别严重违规行为之一的：</w:t>
      </w:r>
    </w:p>
    <w:p w14:paraId="02800E5F">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1.发生重大、特大质量或安全事故，并负有直接责任的；</w:t>
      </w:r>
    </w:p>
    <w:p w14:paraId="111FF065">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2.在单位公开信息、工程相关技术成果和工程建设过程中隐瞒真实情况、弄虚作假，提供虚假材料，谋取不正当利益的；</w:t>
      </w:r>
    </w:p>
    <w:p w14:paraId="71DF9C88">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3.违反有关法律、法规、规章、政策、技术标准、设计文件、合同等有关规定开展工作造成的工程质量问题，经处理后仍影响工程正常使用或减少工程使用寿命的；</w:t>
      </w:r>
    </w:p>
    <w:p w14:paraId="59C2D13C">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4.违反规定施工，造成生态环境严重破坏且拒不修复的；</w:t>
      </w:r>
    </w:p>
    <w:p w14:paraId="61ADD86B">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5.被证实恶意制造工程质量缺陷或质量隐患的；</w:t>
      </w:r>
    </w:p>
    <w:p w14:paraId="3EFDBB75">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6.其他违反法律法规，造成严重后果或社会危害较大的。</w:t>
      </w:r>
    </w:p>
    <w:p w14:paraId="7C9B17CD">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（四）存在以下严重破坏市场公平竞争秩序和社会正常秩序行为之一的：</w:t>
      </w:r>
    </w:p>
    <w:p w14:paraId="02579962">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1.不按合同约定，恶意拖欠承包人项目款的；</w:t>
      </w:r>
    </w:p>
    <w:p w14:paraId="7C84315B">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2.隐瞒有关情况或者提供虚假材料申请资质的，在全国水利建设市场监管服务平台公开虚假信息的，以欺骗、贿赂等不正当手段取得资质等级证书的；</w:t>
      </w:r>
    </w:p>
    <w:p w14:paraId="0907D69C">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3.出借、借用资质证书,允许他人以本单位名义或借用他人名义等弄虚作假方式承揽业务的；</w:t>
      </w:r>
    </w:p>
    <w:p w14:paraId="415FFDC9">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4.未取得相应资质或超越资质证书核定范围、营业范围承揽业务的；</w:t>
      </w:r>
    </w:p>
    <w:p w14:paraId="21C45F7A">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5.操纵招标过程，谋取不正当利益的；</w:t>
      </w:r>
    </w:p>
    <w:p w14:paraId="714777A7">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6.与招标人或投标人串通投标的；</w:t>
      </w:r>
    </w:p>
    <w:p w14:paraId="21A820AB">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7.以向招标人或评标委员会成员行贿的手段谋取中标的；</w:t>
      </w:r>
    </w:p>
    <w:p w14:paraId="4B2F2754">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8.中标后，无正当理由不签订合同的；</w:t>
      </w:r>
    </w:p>
    <w:p w14:paraId="6959B0DF">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9.转包或违法分包所承揽业务的；</w:t>
      </w:r>
    </w:p>
    <w:p w14:paraId="606DF437">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10.弄虚作假，以欺诈手段降低工程或设备质量的；</w:t>
      </w:r>
    </w:p>
    <w:p w14:paraId="6648CF51">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11.单位行贿、受贿，受到刑事处罚的；</w:t>
      </w:r>
    </w:p>
    <w:p w14:paraId="649D0BF2">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12.逃税骗税、恶意逃废债务的；</w:t>
      </w:r>
    </w:p>
    <w:p w14:paraId="206D8008">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13.参与非法集资，受到刑事处罚的；</w:t>
      </w:r>
    </w:p>
    <w:p w14:paraId="68E3C1F5">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14.在签订、履行合同过程中，存在合同欺诈行为，受到刑事处罚的；</w:t>
      </w:r>
    </w:p>
    <w:p w14:paraId="7D124A96">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15.虚构工程项目，套取资金的；</w:t>
      </w:r>
    </w:p>
    <w:p w14:paraId="7A323180">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16.克扣、无故拖欠农民工工资报酬，数额达到认定拒不支付劳动报酬罪数额标准的；</w:t>
      </w:r>
    </w:p>
    <w:p w14:paraId="3ED0DF1C">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17.发生社会公共事件，影响较大，并负有直接责任的。</w:t>
      </w:r>
    </w:p>
    <w:p w14:paraId="4F3232C1">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（五）存在以下拒不履行法定义务，严重影响司法机关、行政机关公信力行为之一的：</w:t>
      </w:r>
    </w:p>
    <w:p w14:paraId="34FFA4BA">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1.发生事故拒绝接受调查或拒绝提供有关资料的；</w:t>
      </w:r>
    </w:p>
    <w:p w14:paraId="13FA6B33">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2.拒不执行生效的行政处罚决定的；</w:t>
      </w:r>
    </w:p>
    <w:p w14:paraId="77DE841D">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3.拒不执行仲裁、法院判决结果的。</w:t>
      </w:r>
    </w:p>
    <w:p w14:paraId="73623654">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（六）被相关联合惩戒部门列入"黑名单"，符合联合惩戒措施的。</w:t>
      </w:r>
    </w:p>
    <w:p w14:paraId="1F5EEC0A">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生产建设项目水土保持市场主体"黑名单"列入标准见《水利建设市场主体信用信息管理办法》附件。</w:t>
      </w:r>
    </w:p>
    <w:p w14:paraId="2E5F707A">
      <w:pPr>
        <w:adjustRightInd w:val="0"/>
        <w:snapToGrid w:val="0"/>
        <w:spacing w:line="560" w:lineRule="exact"/>
        <w:ind w:firstLine="615"/>
        <w:rPr>
          <w:rFonts w:hint="eastAsia" w:ascii="仿宋_GB2312" w:eastAsia="仿宋_GB2312"/>
          <w:color w:val="000000"/>
          <w:sz w:val="28"/>
          <w:szCs w:val="28"/>
        </w:rPr>
      </w:pPr>
      <w:r>
        <w:rPr>
          <w:rFonts w:hint="eastAsia" w:ascii="仿宋_GB2312" w:eastAsia="仿宋_GB2312"/>
          <w:color w:val="000000"/>
          <w:sz w:val="28"/>
          <w:szCs w:val="28"/>
        </w:rPr>
        <w:t>依据：《水利建设市场主体信用评价管理办法》水建设〔2019〕307号、《水利建设市场主体信用信息管理办法》水建设〔2019〕306号</w:t>
      </w:r>
    </w:p>
    <w:p w14:paraId="6EFD78C6">
      <w:pPr>
        <w:adjustRightInd w:val="0"/>
        <w:snapToGrid w:val="0"/>
        <w:spacing w:line="560" w:lineRule="exact"/>
        <w:ind w:firstLine="615"/>
        <w:rPr>
          <w:rFonts w:hint="eastAsia" w:ascii="仿宋_GB2312" w:hAnsi="宋体" w:eastAsia="仿宋_GB2312"/>
          <w:b/>
          <w:color w:val="000000"/>
          <w:sz w:val="28"/>
          <w:szCs w:val="28"/>
        </w:rPr>
      </w:pPr>
    </w:p>
    <w:p w14:paraId="4440E615">
      <w:pPr>
        <w:adjustRightInd w:val="0"/>
        <w:snapToGrid w:val="0"/>
        <w:spacing w:line="560" w:lineRule="exact"/>
        <w:ind w:firstLine="615"/>
        <w:rPr>
          <w:rFonts w:hint="eastAsia" w:ascii="仿宋_GB2312" w:eastAsia="仿宋_GB2312"/>
          <w:b/>
          <w:color w:val="000000"/>
          <w:sz w:val="32"/>
          <w:szCs w:val="32"/>
        </w:rPr>
      </w:pPr>
      <w:r>
        <w:rPr>
          <w:rFonts w:hint="eastAsia" w:ascii="仿宋_GB2312" w:hAnsi="宋体" w:eastAsia="仿宋_GB2312"/>
          <w:b/>
          <w:color w:val="000000"/>
          <w:sz w:val="28"/>
          <w:szCs w:val="28"/>
        </w:rPr>
        <w:t>未列出的其他类别严重失信行为，由招标人（代理机构）根据各类别行业主管部门下发的联合惩戒文件进行判</w:t>
      </w:r>
      <w:r>
        <w:rPr>
          <w:rFonts w:hint="eastAsia" w:ascii="仿宋_GB2312" w:hAnsi="宋体" w:eastAsia="仿宋_GB2312"/>
          <w:b/>
          <w:color w:val="000000"/>
          <w:sz w:val="32"/>
          <w:szCs w:val="32"/>
        </w:rPr>
        <w:t>断。</w:t>
      </w:r>
    </w:p>
    <w:bookmarkEnd w:id="179"/>
    <w:p w14:paraId="4FFC0806">
      <w:pPr>
        <w:rPr>
          <w:rFonts w:hint="eastAsia" w:ascii="宋体" w:hAnsi="宋体" w:eastAsia="宋体" w:cs="宋体"/>
          <w:color w:val="auto"/>
          <w:highlight w:val="none"/>
          <w:lang w:val="en-US" w:eastAsia="zh-CN"/>
        </w:rPr>
      </w:pPr>
    </w:p>
    <w:p w14:paraId="104A31FD">
      <w:pPr>
        <w:pStyle w:val="48"/>
        <w:rPr>
          <w:rFonts w:hint="eastAsia" w:ascii="宋体" w:hAnsi="宋体" w:eastAsia="宋体" w:cs="宋体"/>
          <w:color w:val="auto"/>
          <w:highlight w:val="none"/>
          <w:lang w:val="en-US" w:eastAsia="zh-CN"/>
        </w:rPr>
      </w:pPr>
    </w:p>
    <w:p w14:paraId="69CEDC90">
      <w:pPr>
        <w:rPr>
          <w:rFonts w:hint="eastAsia" w:ascii="宋体" w:hAnsi="宋体" w:eastAsia="宋体" w:cs="宋体"/>
          <w:color w:val="auto"/>
          <w:highlight w:val="none"/>
          <w:lang w:val="en-US" w:eastAsia="zh-CN"/>
        </w:rPr>
      </w:pPr>
    </w:p>
    <w:p w14:paraId="58F391DB">
      <w:pPr>
        <w:pStyle w:val="48"/>
        <w:rPr>
          <w:rFonts w:hint="eastAsia"/>
          <w:lang w:val="en-US" w:eastAsia="zh-CN"/>
        </w:rPr>
      </w:pPr>
    </w:p>
    <w:p w14:paraId="0ABBB40B">
      <w:pPr>
        <w:rPr>
          <w:rFonts w:hint="eastAsia"/>
          <w:lang w:val="en-US" w:eastAsia="zh-CN"/>
        </w:rPr>
      </w:pPr>
    </w:p>
    <w:p w14:paraId="28C8F5AE">
      <w:pPr>
        <w:pStyle w:val="48"/>
        <w:rPr>
          <w:rFonts w:hint="eastAsia"/>
          <w:lang w:val="en-US" w:eastAsia="zh-CN"/>
        </w:rPr>
      </w:pPr>
    </w:p>
    <w:p w14:paraId="35C3969B">
      <w:pPr>
        <w:rPr>
          <w:rFonts w:hint="eastAsia"/>
          <w:lang w:val="en-US" w:eastAsia="zh-CN"/>
        </w:rPr>
      </w:pPr>
    </w:p>
    <w:p w14:paraId="00D2822F">
      <w:pPr>
        <w:pStyle w:val="48"/>
        <w:rPr>
          <w:rFonts w:hint="eastAsia"/>
          <w:lang w:val="en-US" w:eastAsia="zh-CN"/>
        </w:rPr>
      </w:pPr>
    </w:p>
    <w:p w14:paraId="7E5E311A">
      <w:pPr>
        <w:rPr>
          <w:rFonts w:hint="eastAsia"/>
          <w:lang w:val="en-US" w:eastAsia="zh-CN"/>
        </w:rPr>
      </w:pPr>
    </w:p>
    <w:p w14:paraId="0BA82EFB">
      <w:pPr>
        <w:pStyle w:val="48"/>
        <w:rPr>
          <w:rFonts w:hint="eastAsia"/>
          <w:lang w:val="en-US" w:eastAsia="zh-CN"/>
        </w:rPr>
      </w:pPr>
    </w:p>
    <w:p w14:paraId="55C0F80F">
      <w:pPr>
        <w:rPr>
          <w:rFonts w:hint="eastAsia"/>
          <w:lang w:val="en-US" w:eastAsia="zh-CN"/>
        </w:rPr>
      </w:pPr>
    </w:p>
    <w:p w14:paraId="5DF773F9">
      <w:pPr>
        <w:pStyle w:val="48"/>
        <w:rPr>
          <w:rFonts w:hint="eastAsia"/>
          <w:lang w:val="en-US" w:eastAsia="zh-CN"/>
        </w:rPr>
      </w:pPr>
    </w:p>
    <w:p w14:paraId="712BB631">
      <w:pPr>
        <w:rPr>
          <w:rFonts w:hint="eastAsia"/>
          <w:lang w:val="en-US" w:eastAsia="zh-CN"/>
        </w:rPr>
      </w:pPr>
    </w:p>
    <w:p w14:paraId="2265E330">
      <w:pPr>
        <w:pStyle w:val="48"/>
        <w:rPr>
          <w:rFonts w:hint="eastAsia"/>
          <w:lang w:val="en-US" w:eastAsia="zh-CN"/>
        </w:rPr>
      </w:pPr>
    </w:p>
    <w:p w14:paraId="0D0BA295">
      <w:pPr>
        <w:rPr>
          <w:rFonts w:hint="eastAsia"/>
          <w:lang w:val="en-US" w:eastAsia="zh-CN"/>
        </w:rPr>
      </w:pPr>
    </w:p>
    <w:p w14:paraId="0EA5FEDA">
      <w:pPr>
        <w:pStyle w:val="48"/>
        <w:rPr>
          <w:rFonts w:hint="eastAsia"/>
          <w:lang w:val="en-US" w:eastAsia="zh-CN"/>
        </w:rPr>
      </w:pPr>
    </w:p>
    <w:p w14:paraId="08BE9109">
      <w:pPr>
        <w:rPr>
          <w:rFonts w:hint="eastAsia"/>
          <w:lang w:val="en-US" w:eastAsia="zh-CN"/>
        </w:rPr>
      </w:pPr>
    </w:p>
    <w:p w14:paraId="012CD402">
      <w:pPr>
        <w:pStyle w:val="48"/>
        <w:rPr>
          <w:rFonts w:hint="eastAsia"/>
          <w:lang w:val="en-US" w:eastAsia="zh-CN"/>
        </w:rPr>
      </w:pPr>
    </w:p>
    <w:p w14:paraId="76BF5FC5">
      <w:pPr>
        <w:pStyle w:val="3"/>
        <w:spacing w:before="0" w:after="0"/>
        <w:rPr>
          <w:rFonts w:hint="eastAsia" w:ascii="宋体" w:hAnsi="宋体" w:eastAsia="宋体" w:cs="宋体"/>
          <w:color w:val="auto"/>
          <w:highlight w:val="none"/>
          <w:lang w:val="en-US" w:eastAsia="zh-CN"/>
        </w:rPr>
      </w:pPr>
      <w:bookmarkStart w:id="182" w:name="_Toc31259"/>
      <w:r>
        <w:rPr>
          <w:rFonts w:hint="eastAsia" w:ascii="宋体" w:hAnsi="宋体" w:eastAsia="宋体" w:cs="宋体"/>
          <w:color w:val="auto"/>
          <w:highlight w:val="none"/>
          <w:lang w:val="en-US" w:eastAsia="zh-CN"/>
        </w:rPr>
        <w:t>第七章招标单位、招标代理机构对本招标文件的确认</w:t>
      </w:r>
      <w:bookmarkEnd w:id="180"/>
      <w:bookmarkEnd w:id="182"/>
    </w:p>
    <w:tbl>
      <w:tblPr>
        <w:tblStyle w:val="49"/>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6"/>
      </w:tblGrid>
      <w:tr w14:paraId="28CE9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1" w:hRule="atLeast"/>
        </w:trPr>
        <w:tc>
          <w:tcPr>
            <w:tcW w:w="9456" w:type="dxa"/>
          </w:tcPr>
          <w:p w14:paraId="09660384">
            <w:pPr>
              <w:spacing w:line="320" w:lineRule="atLeast"/>
              <w:ind w:firstLine="560" w:firstLineChars="200"/>
              <w:rPr>
                <w:rFonts w:hint="eastAsia" w:ascii="宋体" w:hAnsi="宋体" w:eastAsia="宋体" w:cs="宋体"/>
                <w:color w:val="auto"/>
                <w:sz w:val="28"/>
                <w:szCs w:val="28"/>
                <w:highlight w:val="none"/>
              </w:rPr>
            </w:pPr>
          </w:p>
          <w:p w14:paraId="55695469">
            <w:pPr>
              <w:spacing w:line="320" w:lineRule="atLeas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我单位对</w:t>
            </w:r>
            <w:r>
              <w:rPr>
                <w:rFonts w:hint="eastAsia" w:ascii="宋体" w:hAnsi="宋体" w:cs="宋体"/>
                <w:color w:val="auto"/>
                <w:sz w:val="28"/>
                <w:szCs w:val="28"/>
                <w:highlight w:val="none"/>
                <w:u w:val="single"/>
                <w:lang w:eastAsia="zh-CN"/>
              </w:rPr>
              <w:t>工投高新科技园项目14号厂房电力工程</w:t>
            </w:r>
            <w:r>
              <w:rPr>
                <w:rFonts w:hint="eastAsia" w:ascii="宋体" w:hAnsi="宋体" w:eastAsia="宋体" w:cs="宋体"/>
                <w:color w:val="auto"/>
                <w:sz w:val="28"/>
                <w:szCs w:val="28"/>
                <w:highlight w:val="none"/>
              </w:rPr>
              <w:t>的招标文件进行确认。</w:t>
            </w:r>
          </w:p>
          <w:p w14:paraId="02F0B2C7">
            <w:pPr>
              <w:spacing w:line="320" w:lineRule="atLeast"/>
              <w:ind w:firstLine="560" w:firstLineChars="200"/>
              <w:rPr>
                <w:rFonts w:hint="eastAsia" w:ascii="宋体" w:hAnsi="宋体" w:eastAsia="宋体" w:cs="宋体"/>
                <w:color w:val="auto"/>
                <w:sz w:val="28"/>
                <w:szCs w:val="28"/>
                <w:highlight w:val="none"/>
              </w:rPr>
            </w:pPr>
          </w:p>
          <w:p w14:paraId="0C8108E3">
            <w:pPr>
              <w:spacing w:line="700" w:lineRule="exact"/>
              <w:ind w:firstLine="600" w:firstLineChars="200"/>
              <w:jc w:val="left"/>
              <w:rPr>
                <w:rFonts w:hint="eastAsia" w:ascii="宋体" w:hAnsi="宋体" w:eastAsia="宋体" w:cs="宋体"/>
                <w:color w:val="auto"/>
                <w:sz w:val="30"/>
                <w:lang w:eastAsia="zh-CN"/>
              </w:rPr>
            </w:pPr>
            <w:r>
              <w:rPr>
                <w:rFonts w:hint="eastAsia" w:ascii="宋体" w:hAnsi="宋体" w:eastAsia="宋体" w:cs="宋体"/>
                <w:color w:val="auto"/>
                <w:sz w:val="30"/>
              </w:rPr>
              <w:t>招标单位：</w:t>
            </w:r>
            <w:r>
              <w:rPr>
                <w:rFonts w:hint="eastAsia" w:ascii="宋体" w:hAnsi="宋体" w:cs="宋体"/>
                <w:color w:val="auto"/>
                <w:sz w:val="30"/>
                <w:lang w:eastAsia="zh-CN"/>
              </w:rPr>
              <w:t>滁州工投高新科技园有限公司</w:t>
            </w:r>
            <w:r>
              <w:rPr>
                <w:rFonts w:hint="eastAsia" w:ascii="宋体" w:hAnsi="宋体" w:eastAsia="宋体" w:cs="宋体"/>
                <w:color w:val="auto"/>
                <w:sz w:val="30"/>
              </w:rPr>
              <w:t xml:space="preserve">  </w:t>
            </w:r>
            <w:r>
              <w:rPr>
                <w:rFonts w:hint="eastAsia" w:ascii="宋体" w:hAnsi="宋体" w:eastAsia="宋体" w:cs="宋体"/>
                <w:color w:val="auto"/>
                <w:sz w:val="30"/>
                <w:lang w:val="en-US" w:eastAsia="zh-CN"/>
              </w:rPr>
              <w:t xml:space="preserve">  </w:t>
            </w:r>
          </w:p>
          <w:p w14:paraId="2663CD02">
            <w:pPr>
              <w:spacing w:line="700" w:lineRule="exact"/>
              <w:ind w:firstLine="600" w:firstLineChars="200"/>
              <w:jc w:val="both"/>
              <w:rPr>
                <w:rFonts w:hint="default" w:ascii="宋体" w:hAnsi="宋体" w:eastAsia="宋体" w:cs="宋体"/>
                <w:color w:val="auto"/>
                <w:sz w:val="30"/>
                <w:lang w:val="en-US" w:eastAsia="zh-CN"/>
              </w:rPr>
            </w:pPr>
            <w:r>
              <w:rPr>
                <w:rFonts w:hint="eastAsia" w:ascii="宋体" w:hAnsi="宋体" w:eastAsia="宋体" w:cs="宋体"/>
                <w:color w:val="auto"/>
                <w:sz w:val="30"/>
              </w:rPr>
              <w:t>经 办 人：</w:t>
            </w:r>
            <w:r>
              <w:rPr>
                <w:rFonts w:hint="eastAsia" w:ascii="宋体" w:hAnsi="宋体" w:cs="宋体"/>
                <w:color w:val="auto"/>
                <w:sz w:val="30"/>
                <w:lang w:val="en-US" w:eastAsia="zh-CN"/>
              </w:rPr>
              <w:t>王昊</w:t>
            </w:r>
          </w:p>
          <w:p w14:paraId="7CC83E7B">
            <w:pPr>
              <w:spacing w:line="700" w:lineRule="exact"/>
              <w:ind w:firstLine="600" w:firstLineChars="200"/>
              <w:rPr>
                <w:rFonts w:hint="eastAsia" w:ascii="宋体" w:hAnsi="宋体" w:cs="宋体"/>
                <w:color w:val="auto"/>
                <w:sz w:val="30"/>
                <w:lang w:eastAsia="zh-CN"/>
              </w:rPr>
            </w:pPr>
            <w:r>
              <w:rPr>
                <w:rFonts w:hint="eastAsia" w:ascii="宋体" w:hAnsi="宋体" w:eastAsia="宋体" w:cs="宋体"/>
                <w:color w:val="auto"/>
                <w:sz w:val="30"/>
              </w:rPr>
              <w:t>联系电话：</w:t>
            </w:r>
            <w:r>
              <w:rPr>
                <w:rFonts w:hint="eastAsia" w:ascii="宋体" w:hAnsi="宋体" w:cs="宋体"/>
                <w:color w:val="auto"/>
                <w:sz w:val="30"/>
                <w:lang w:eastAsia="zh-CN"/>
              </w:rPr>
              <w:t>0550-3990933</w:t>
            </w:r>
          </w:p>
          <w:p w14:paraId="05195729">
            <w:pPr>
              <w:spacing w:line="700" w:lineRule="exact"/>
              <w:ind w:firstLine="560" w:firstLineChars="200"/>
              <w:rPr>
                <w:rFonts w:hint="eastAsia" w:ascii="宋体" w:hAnsi="宋体" w:eastAsia="宋体" w:cs="Times New Roman"/>
                <w:color w:val="auto"/>
                <w:sz w:val="28"/>
                <w:szCs w:val="28"/>
                <w:highlight w:val="none"/>
                <w:lang w:eastAsia="zh-CN"/>
              </w:rPr>
            </w:pPr>
            <w:r>
              <w:rPr>
                <w:rFonts w:hint="eastAsia" w:ascii="宋体" w:hAnsi="宋体" w:eastAsia="宋体" w:cs="Times New Roman"/>
                <w:color w:val="auto"/>
                <w:sz w:val="28"/>
                <w:szCs w:val="28"/>
                <w:highlight w:val="none"/>
                <w:lang w:eastAsia="zh-CN"/>
              </w:rPr>
              <w:t>监督电话：0550-3017855 </w:t>
            </w:r>
          </w:p>
          <w:p w14:paraId="3A0A7942">
            <w:pPr>
              <w:spacing w:line="700" w:lineRule="exact"/>
              <w:ind w:firstLine="560" w:firstLineChars="200"/>
              <w:jc w:val="center"/>
              <w:rPr>
                <w:rFonts w:hint="eastAsia" w:ascii="宋体" w:hAnsi="宋体" w:eastAsia="宋体"/>
                <w:color w:val="auto"/>
                <w:sz w:val="30"/>
                <w:lang w:val="en-US" w:eastAsia="zh-CN"/>
              </w:rPr>
            </w:pP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（单位盖章）</w:t>
            </w:r>
          </w:p>
          <w:p w14:paraId="58E21503">
            <w:pPr>
              <w:spacing w:line="500" w:lineRule="exact"/>
              <w:ind w:firstLine="600" w:firstLineChars="200"/>
              <w:rPr>
                <w:rFonts w:hint="eastAsia" w:ascii="宋体" w:hAnsi="宋体" w:eastAsia="宋体" w:cs="宋体"/>
                <w:color w:val="auto"/>
                <w:sz w:val="30"/>
                <w:lang w:val="en-US" w:eastAsia="zh-CN"/>
              </w:rPr>
            </w:pPr>
          </w:p>
          <w:p w14:paraId="5EDA1525">
            <w:pPr>
              <w:ind w:firstLine="5320" w:firstLineChars="190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 xml:space="preserve">    </w:t>
            </w:r>
            <w:r>
              <w:rPr>
                <w:rFonts w:hint="eastAsia" w:ascii="宋体" w:hAnsi="宋体" w:cs="宋体"/>
                <w:color w:val="auto"/>
                <w:sz w:val="28"/>
                <w:szCs w:val="28"/>
                <w:highlight w:val="none"/>
                <w:lang w:eastAsia="zh-CN"/>
              </w:rPr>
              <w:t>2025年</w:t>
            </w:r>
            <w:r>
              <w:rPr>
                <w:rFonts w:hint="eastAsia" w:ascii="宋体" w:hAnsi="宋体" w:cs="宋体"/>
                <w:color w:val="auto"/>
                <w:sz w:val="28"/>
                <w:szCs w:val="28"/>
                <w:highlight w:val="none"/>
                <w:lang w:val="en-US" w:eastAsia="zh-CN"/>
              </w:rPr>
              <w:t>2</w:t>
            </w:r>
            <w:r>
              <w:rPr>
                <w:rFonts w:hint="eastAsia" w:ascii="宋体" w:hAnsi="宋体" w:cs="宋体"/>
                <w:color w:val="auto"/>
                <w:sz w:val="28"/>
                <w:szCs w:val="28"/>
                <w:highlight w:val="none"/>
                <w:lang w:eastAsia="zh-CN"/>
              </w:rPr>
              <w:t>月</w:t>
            </w:r>
            <w:r>
              <w:rPr>
                <w:rFonts w:hint="eastAsia" w:ascii="宋体" w:hAnsi="宋体" w:cs="宋体"/>
                <w:color w:val="auto"/>
                <w:sz w:val="28"/>
                <w:szCs w:val="28"/>
                <w:highlight w:val="none"/>
                <w:lang w:val="en-US" w:eastAsia="zh-CN"/>
              </w:rPr>
              <w:t>26</w:t>
            </w:r>
            <w:r>
              <w:rPr>
                <w:rFonts w:hint="eastAsia" w:ascii="宋体" w:hAnsi="宋体" w:cs="宋体"/>
                <w:color w:val="auto"/>
                <w:sz w:val="28"/>
                <w:szCs w:val="28"/>
                <w:highlight w:val="none"/>
                <w:lang w:eastAsia="zh-CN"/>
              </w:rPr>
              <w:t>日</w:t>
            </w:r>
          </w:p>
        </w:tc>
      </w:tr>
      <w:tr w14:paraId="5ECD4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1" w:hRule="atLeast"/>
        </w:trPr>
        <w:tc>
          <w:tcPr>
            <w:tcW w:w="9456" w:type="dxa"/>
          </w:tcPr>
          <w:p w14:paraId="710C9E97">
            <w:pPr>
              <w:spacing w:line="320" w:lineRule="atLeast"/>
              <w:ind w:firstLine="560" w:firstLineChars="200"/>
              <w:rPr>
                <w:rFonts w:hint="eastAsia" w:ascii="宋体" w:hAnsi="宋体" w:eastAsia="宋体" w:cs="宋体"/>
                <w:color w:val="auto"/>
                <w:sz w:val="28"/>
                <w:szCs w:val="28"/>
                <w:highlight w:val="none"/>
              </w:rPr>
            </w:pPr>
          </w:p>
          <w:p w14:paraId="0CCB65F6">
            <w:pPr>
              <w:spacing w:line="320" w:lineRule="atLeas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招标代理机构：滁州市城投工程咨询管理有限公司</w:t>
            </w:r>
          </w:p>
          <w:p w14:paraId="4DCBC466">
            <w:pPr>
              <w:spacing w:line="320" w:lineRule="atLeas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联系人：</w:t>
            </w:r>
            <w:r>
              <w:rPr>
                <w:rFonts w:hint="eastAsia" w:ascii="宋体" w:hAnsi="宋体" w:cs="宋体"/>
                <w:color w:val="auto"/>
                <w:sz w:val="28"/>
                <w:szCs w:val="28"/>
                <w:highlight w:val="none"/>
                <w:lang w:val="en-US" w:eastAsia="zh-CN"/>
              </w:rPr>
              <w:t>曹思敏</w:t>
            </w:r>
            <w:r>
              <w:rPr>
                <w:rFonts w:hint="eastAsia" w:ascii="宋体" w:hAnsi="宋体" w:eastAsia="宋体" w:cs="宋体"/>
                <w:color w:val="auto"/>
                <w:sz w:val="28"/>
                <w:szCs w:val="28"/>
                <w:highlight w:val="none"/>
              </w:rPr>
              <w:t xml:space="preserve"> </w:t>
            </w:r>
          </w:p>
          <w:p w14:paraId="79A129CC">
            <w:pPr>
              <w:spacing w:line="320" w:lineRule="atLeast"/>
              <w:ind w:firstLine="560" w:firstLineChars="200"/>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联系电话： 0550-35195</w:t>
            </w:r>
            <w:r>
              <w:rPr>
                <w:rFonts w:hint="eastAsia" w:ascii="宋体" w:hAnsi="宋体" w:eastAsia="宋体" w:cs="宋体"/>
                <w:color w:val="auto"/>
                <w:sz w:val="28"/>
                <w:szCs w:val="28"/>
                <w:highlight w:val="none"/>
                <w:lang w:val="en-US" w:eastAsia="zh-CN"/>
              </w:rPr>
              <w:t>1</w:t>
            </w:r>
            <w:r>
              <w:rPr>
                <w:rFonts w:hint="eastAsia" w:ascii="宋体" w:hAnsi="宋体" w:cs="宋体"/>
                <w:color w:val="auto"/>
                <w:sz w:val="28"/>
                <w:szCs w:val="28"/>
                <w:highlight w:val="none"/>
                <w:lang w:val="en-US" w:eastAsia="zh-CN"/>
              </w:rPr>
              <w:t>6</w:t>
            </w:r>
            <w:r>
              <w:rPr>
                <w:rFonts w:hint="eastAsia" w:ascii="宋体" w:hAnsi="宋体" w:cs="宋体"/>
                <w:color w:val="auto"/>
                <w:sz w:val="28"/>
                <w:szCs w:val="28"/>
                <w:highlight w:val="none"/>
                <w:lang w:eastAsia="zh-CN"/>
              </w:rPr>
              <w:t>、</w:t>
            </w:r>
            <w:r>
              <w:rPr>
                <w:rFonts w:hint="eastAsia" w:ascii="宋体" w:hAnsi="宋体" w:cs="宋体"/>
                <w:color w:val="auto"/>
                <w:sz w:val="28"/>
                <w:szCs w:val="28"/>
                <w:highlight w:val="none"/>
                <w:lang w:val="en-US" w:eastAsia="zh-CN"/>
              </w:rPr>
              <w:t>18712012204</w:t>
            </w:r>
          </w:p>
          <w:p w14:paraId="007A61A0">
            <w:pPr>
              <w:rPr>
                <w:rFonts w:hint="eastAsia" w:ascii="宋体" w:hAnsi="宋体" w:eastAsia="宋体" w:cs="宋体"/>
                <w:color w:val="auto"/>
                <w:sz w:val="28"/>
                <w:szCs w:val="28"/>
                <w:highlight w:val="none"/>
              </w:rPr>
            </w:pPr>
          </w:p>
          <w:p w14:paraId="739189A1">
            <w:pPr>
              <w:ind w:firstLine="5040" w:firstLineChars="18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（单位盖章）</w:t>
            </w:r>
          </w:p>
          <w:p w14:paraId="1F74A53A">
            <w:pPr>
              <w:ind w:firstLine="4900" w:firstLineChars="175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7760108B">
            <w:pPr>
              <w:ind w:firstLine="5740" w:firstLineChars="205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 xml:space="preserve"> </w:t>
            </w:r>
            <w:r>
              <w:rPr>
                <w:rFonts w:hint="eastAsia" w:ascii="宋体" w:hAnsi="宋体" w:cs="宋体"/>
                <w:color w:val="auto"/>
                <w:sz w:val="28"/>
                <w:szCs w:val="28"/>
                <w:highlight w:val="none"/>
                <w:lang w:eastAsia="zh-CN"/>
              </w:rPr>
              <w:t>2025年</w:t>
            </w:r>
            <w:r>
              <w:rPr>
                <w:rFonts w:hint="eastAsia" w:ascii="宋体" w:hAnsi="宋体" w:cs="宋体"/>
                <w:color w:val="auto"/>
                <w:sz w:val="28"/>
                <w:szCs w:val="28"/>
                <w:highlight w:val="none"/>
                <w:lang w:val="en-US" w:eastAsia="zh-CN"/>
              </w:rPr>
              <w:t>2</w:t>
            </w:r>
            <w:r>
              <w:rPr>
                <w:rFonts w:hint="eastAsia" w:ascii="宋体" w:hAnsi="宋体" w:cs="宋体"/>
                <w:color w:val="auto"/>
                <w:sz w:val="28"/>
                <w:szCs w:val="28"/>
                <w:highlight w:val="none"/>
                <w:lang w:eastAsia="zh-CN"/>
              </w:rPr>
              <w:t>月</w:t>
            </w:r>
            <w:r>
              <w:rPr>
                <w:rFonts w:hint="eastAsia" w:ascii="宋体" w:hAnsi="宋体" w:cs="宋体"/>
                <w:color w:val="auto"/>
                <w:sz w:val="28"/>
                <w:szCs w:val="28"/>
                <w:highlight w:val="none"/>
                <w:lang w:val="en-US" w:eastAsia="zh-CN"/>
              </w:rPr>
              <w:t>26</w:t>
            </w:r>
            <w:r>
              <w:rPr>
                <w:rFonts w:hint="eastAsia" w:ascii="宋体" w:hAnsi="宋体" w:cs="宋体"/>
                <w:color w:val="auto"/>
                <w:sz w:val="28"/>
                <w:szCs w:val="28"/>
                <w:highlight w:val="none"/>
                <w:lang w:eastAsia="zh-CN"/>
              </w:rPr>
              <w:t>日</w:t>
            </w:r>
          </w:p>
        </w:tc>
      </w:tr>
    </w:tbl>
    <w:p w14:paraId="3F2D5FAA">
      <w:pPr>
        <w:pStyle w:val="18"/>
        <w:jc w:val="left"/>
        <w:rPr>
          <w:rFonts w:ascii="仿宋" w:hAnsi="仿宋" w:eastAsia="仿宋" w:cs="仿宋"/>
          <w:color w:val="auto"/>
          <w:kern w:val="0"/>
          <w:sz w:val="24"/>
          <w:szCs w:val="24"/>
          <w:highlight w:val="none"/>
        </w:rPr>
      </w:pPr>
    </w:p>
    <w:p w14:paraId="34FE805E">
      <w:pPr>
        <w:pStyle w:val="18"/>
        <w:jc w:val="left"/>
        <w:rPr>
          <w:rFonts w:ascii="仿宋" w:hAnsi="仿宋" w:eastAsia="仿宋" w:cs="仿宋"/>
          <w:color w:val="auto"/>
          <w:kern w:val="0"/>
          <w:sz w:val="24"/>
          <w:szCs w:val="24"/>
          <w:highlight w:val="none"/>
        </w:rPr>
      </w:pPr>
    </w:p>
    <w:p w14:paraId="256DB549">
      <w:pPr>
        <w:pStyle w:val="18"/>
        <w:jc w:val="left"/>
        <w:rPr>
          <w:rFonts w:ascii="仿宋" w:hAnsi="仿宋" w:eastAsia="仿宋" w:cs="仿宋"/>
          <w:color w:val="auto"/>
          <w:kern w:val="0"/>
          <w:sz w:val="24"/>
          <w:szCs w:val="24"/>
          <w:highlight w:val="none"/>
        </w:rPr>
      </w:pPr>
    </w:p>
    <w:p w14:paraId="5FAA8BCB">
      <w:pPr>
        <w:pStyle w:val="18"/>
        <w:jc w:val="left"/>
        <w:rPr>
          <w:rFonts w:ascii="仿宋" w:hAnsi="仿宋" w:eastAsia="仿宋" w:cs="仿宋"/>
          <w:color w:val="auto"/>
          <w:kern w:val="0"/>
          <w:sz w:val="24"/>
          <w:szCs w:val="24"/>
          <w:highlight w:val="none"/>
        </w:rPr>
      </w:pPr>
    </w:p>
    <w:p w14:paraId="720E62C0">
      <w:pPr>
        <w:pStyle w:val="18"/>
        <w:jc w:val="left"/>
        <w:rPr>
          <w:rFonts w:ascii="仿宋" w:hAnsi="仿宋" w:eastAsia="仿宋" w:cs="仿宋"/>
          <w:color w:val="auto"/>
          <w:kern w:val="0"/>
          <w:sz w:val="24"/>
          <w:szCs w:val="24"/>
          <w:highlight w:val="none"/>
        </w:rPr>
      </w:pPr>
    </w:p>
    <w:p w14:paraId="44E14124">
      <w:pPr>
        <w:pStyle w:val="18"/>
        <w:jc w:val="left"/>
        <w:rPr>
          <w:rFonts w:ascii="仿宋" w:hAnsi="仿宋" w:eastAsia="仿宋" w:cs="仿宋"/>
          <w:color w:val="auto"/>
          <w:kern w:val="0"/>
          <w:sz w:val="24"/>
          <w:szCs w:val="24"/>
          <w:highlight w:val="none"/>
        </w:rPr>
      </w:pPr>
    </w:p>
    <w:p w14:paraId="4944ABE4">
      <w:pPr>
        <w:pStyle w:val="18"/>
        <w:jc w:val="left"/>
        <w:rPr>
          <w:rFonts w:hint="eastAsia" w:ascii="仿宋" w:hAnsi="仿宋" w:eastAsia="仿宋" w:cs="仿宋"/>
          <w:color w:val="auto"/>
          <w:kern w:val="0"/>
          <w:sz w:val="24"/>
          <w:szCs w:val="24"/>
          <w:highlight w:val="none"/>
          <w:lang w:eastAsia="zh-CN"/>
        </w:rPr>
      </w:pPr>
    </w:p>
    <w:sectPr>
      <w:footerReference r:id="rId6" w:type="default"/>
      <w:pgSz w:w="11906" w:h="16838"/>
      <w:pgMar w:top="935" w:right="1106" w:bottom="936" w:left="1259" w:header="680" w:footer="680" w:gutter="0"/>
      <w:pgNumType w:fmt="decimal"/>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imes">
    <w:altName w:val="Times New Roman"/>
    <w:panose1 w:val="02020603050405020304"/>
    <w:charset w:val="00"/>
    <w:family w:val="roman"/>
    <w:pitch w:val="default"/>
    <w:sig w:usb0="00000000" w:usb1="00000000" w:usb2="00000009" w:usb3="00000000" w:csb0="000001FF" w:csb1="00000000"/>
  </w:font>
  <w:font w:name="Wingdings 2">
    <w:panose1 w:val="05020102010507070707"/>
    <w:charset w:val="02"/>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6EE615">
    <w:pPr>
      <w:pStyle w:val="31"/>
      <w:rPr>
        <w:rStyle w:val="53"/>
      </w:rPr>
    </w:pPr>
  </w:p>
  <w:p w14:paraId="6D3F3BEE">
    <w:pPr>
      <w:pStyle w:val="31"/>
      <w:ind w:right="360"/>
      <w:rPr>
        <w:kern w:val="0"/>
      </w:rPr>
    </w:pPr>
    <w:r>
      <mc:AlternateContent>
        <mc:Choice Requires="wps">
          <w:drawing>
            <wp:anchor distT="0" distB="0" distL="114300" distR="114300" simplePos="0" relativeHeight="251659264"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5"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5DC54B0B"/>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59264;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QQliK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eUOK4xYGf&#10;v387//h1/vm1zu4MITaY9BDuYd5FhFnqqMDmL4ogY3H0dHVUjokIDFb16mb1BqkFnlVvV1VdLGeP&#10;twPE9E56SzJoKeDEipH8+CEmrIipl5RczPk7bUyZmnF/BTBxisgy9vl2bn9qOKM07sZZxc53J1Ru&#10;3jt0M7+MC4AL2F3AIYDe99hclQ1hmQinUVqbX04e95/7kvX4t2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QQliKuAEAAHUDAAAOAAAAAAAAAAEAIAAAACkBAABkcnMvZTJvRG9jLnhtbFBL&#10;BQYAAAAABgAGAFkBAABTBQAAAAA=&#10;">
              <v:fill on="f" focussize="0,0"/>
              <v:stroke on="f"/>
              <v:imagedata o:title=""/>
              <o:lock v:ext="edit" aspectratio="f"/>
              <v:textbox inset="0mm,0mm,0mm,0mm">
                <w:txbxContent>
                  <w:p w14:paraId="5DC54B0B"/>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8F9046">
    <w:pPr>
      <w:pStyle w:val="31"/>
      <w:tabs>
        <w:tab w:val="center" w:pos="7483"/>
        <w:tab w:val="clear" w:pos="4153"/>
      </w:tabs>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3CB8615">
                          <w:pPr>
                            <w:pStyle w:val="31"/>
                          </w:pPr>
                          <w:r>
                            <w:fldChar w:fldCharType="begin"/>
                          </w:r>
                          <w:r>
                            <w:instrText xml:space="preserve"> PAGE  \* MERGEFORMAT </w:instrText>
                          </w:r>
                          <w:r>
                            <w:fldChar w:fldCharType="separate"/>
                          </w:r>
                          <w:r>
                            <w:t></w:t>
                          </w:r>
                          <w: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mK+1NABAACqAwAADgAAAAAAAAABACAAAAAeAQAAZHJz&#10;L2Uyb0RvYy54bWxQSwUGAAAAAAYABgBZAQAAYAUAAAAA&#10;">
              <v:fill on="f" focussize="0,0"/>
              <v:stroke on="f"/>
              <v:imagedata o:title=""/>
              <o:lock v:ext="edit" aspectratio="f"/>
              <v:textbox inset="0mm,0mm,0mm,0mm" style="mso-fit-shape-to-text:t;">
                <w:txbxContent>
                  <w:p w14:paraId="13CB8615">
                    <w:pPr>
                      <w:pStyle w:val="31"/>
                    </w:pPr>
                    <w:r>
                      <w:fldChar w:fldCharType="begin"/>
                    </w:r>
                    <w:r>
                      <w:instrText xml:space="preserve"> PAGE  \* MERGEFORMAT </w:instrText>
                    </w:r>
                    <w:r>
                      <w:fldChar w:fldCharType="separate"/>
                    </w:r>
                    <w:r>
                      <w:t></w:t>
                    </w:r>
                    <w:r>
                      <w:fldChar w:fldCharType="end"/>
                    </w:r>
                  </w:p>
                </w:txbxContent>
              </v:textbox>
            </v:shape>
          </w:pict>
        </mc:Fallback>
      </mc:AlternateContent>
    </w: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07C135">
    <w:pPr>
      <w:pStyle w:val="31"/>
      <w:rPr>
        <w:rStyle w:val="53"/>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E12F24">
                          <w:pPr>
                            <w:pStyle w:val="31"/>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18E12F24">
                    <w:pPr>
                      <w:pStyle w:val="31"/>
                    </w:pPr>
                    <w:r>
                      <w:fldChar w:fldCharType="begin"/>
                    </w:r>
                    <w:r>
                      <w:instrText xml:space="preserve"> PAGE  \* MERGEFORMAT </w:instrText>
                    </w:r>
                    <w:r>
                      <w:fldChar w:fldCharType="separate"/>
                    </w:r>
                    <w:r>
                      <w:t>19</w:t>
                    </w:r>
                    <w:r>
                      <w:fldChar w:fldCharType="end"/>
                    </w:r>
                  </w:p>
                </w:txbxContent>
              </v:textbox>
            </v:shape>
          </w:pict>
        </mc:Fallback>
      </mc:AlternateContent>
    </w:r>
  </w:p>
  <w:p w14:paraId="746A05B5">
    <w:pPr>
      <w:pStyle w:val="31"/>
      <w:ind w:right="360"/>
      <w:rPr>
        <w:kern w:val="0"/>
      </w:rPr>
    </w:pPr>
    <w:r>
      <mc:AlternateContent>
        <mc:Choice Requires="wps">
          <w:drawing>
            <wp:anchor distT="0" distB="0" distL="114300" distR="114300" simplePos="0" relativeHeight="251660288"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8"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58EC50B4"/>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0288;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ipzAr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i2B23OPDz&#10;92/nH7/OP7/W2Z0hxAaTHsI9zLuIMEsdFdj8RRFkLI6ero7KMRGBwape3aze3FAi8Kx6u6rqYjl7&#10;vB0gpnfSW5JBSwEnVozkxw8xYUVMvaTkYs7faWPK1Iz7K4CJU0SWsc+3c/tTwxmlcTfOKna+O6Fy&#10;896hm/llXABcwO4CDgH0vsfmqmwIy0Q4jdLa/HLyuP/cl6zHv2X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ipzAruAEAAHUDAAAOAAAAAAAAAAEAIAAAACkBAABkcnMvZTJvRG9jLnhtbFBL&#10;BQYAAAAABgAGAFkBAABTBQAAAAA=&#10;">
              <v:fill on="f" focussize="0,0"/>
              <v:stroke on="f"/>
              <v:imagedata o:title=""/>
              <o:lock v:ext="edit" aspectratio="f"/>
              <v:textbox inset="0mm,0mm,0mm,0mm">
                <w:txbxContent>
                  <w:p w14:paraId="58EC50B4"/>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56EB35">
    <w:pPr>
      <w:pStyle w:val="32"/>
      <w:pBdr>
        <w:bottom w:val="none" w:color="auto" w:sz="0" w:space="0"/>
      </w:pBdr>
    </w:pPr>
    <w:r>
      <w:rPr>
        <w:rFonts w:hint="eastAsia"/>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japaneseCounting"/>
      <w:lvlText w:val="%1"/>
      <w:lvlJc w:val="left"/>
      <w:pPr>
        <w:tabs>
          <w:tab w:val="left" w:pos="0"/>
        </w:tabs>
        <w:ind w:left="360" w:hanging="360"/>
      </w:pPr>
      <w:rPr>
        <w:rFonts w:hint="default" w:ascii="宋体" w:hAnsi="宋体" w:eastAsia="宋体"/>
      </w:r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abstractNum w:abstractNumId="1">
    <w:nsid w:val="00000005"/>
    <w:multiLevelType w:val="multilevel"/>
    <w:tmpl w:val="00000005"/>
    <w:lvl w:ilvl="0" w:tentative="0">
      <w:start w:val="2"/>
      <w:numFmt w:val="decimal"/>
      <w:lvlText w:val="%1、"/>
      <w:lvlJc w:val="left"/>
      <w:pPr>
        <w:tabs>
          <w:tab w:val="left" w:pos="840"/>
        </w:tabs>
        <w:ind w:left="840" w:hanging="36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
    <w:nsid w:val="4B0AFD2E"/>
    <w:multiLevelType w:val="singleLevel"/>
    <w:tmpl w:val="4B0AFD2E"/>
    <w:lvl w:ilvl="0" w:tentative="0">
      <w:start w:val="2"/>
      <w:numFmt w:val="decimal"/>
      <w:suff w:val="nothing"/>
      <w:lvlText w:val="%1、"/>
      <w:lvlJc w:val="left"/>
    </w:lvl>
  </w:abstractNum>
  <w:abstractNum w:abstractNumId="3">
    <w:nsid w:val="5D873223"/>
    <w:multiLevelType w:val="singleLevel"/>
    <w:tmpl w:val="5D873223"/>
    <w:lvl w:ilvl="0" w:tentative="0">
      <w:start w:val="1"/>
      <w:numFmt w:val="decimal"/>
      <w:suff w:val="nothing"/>
      <w:lvlText w:val="（%1）"/>
      <w:lvlJc w:val="left"/>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oNotHyphenateCaps/>
  <w:drawingGridVerticalSpacing w:val="159"/>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0ZTM1OThkNDRiNzM2OWNjMmFkYWEzNjc1MWViMTgifQ=="/>
  </w:docVars>
  <w:rsids>
    <w:rsidRoot w:val="00277DEA"/>
    <w:rsid w:val="000407AC"/>
    <w:rsid w:val="00040A78"/>
    <w:rsid w:val="00057816"/>
    <w:rsid w:val="000E13AD"/>
    <w:rsid w:val="00131FFF"/>
    <w:rsid w:val="00135312"/>
    <w:rsid w:val="00144E2C"/>
    <w:rsid w:val="001643AB"/>
    <w:rsid w:val="0016450D"/>
    <w:rsid w:val="001A591F"/>
    <w:rsid w:val="001C6848"/>
    <w:rsid w:val="001D4B0B"/>
    <w:rsid w:val="001F10F0"/>
    <w:rsid w:val="00217AF2"/>
    <w:rsid w:val="00217EB9"/>
    <w:rsid w:val="00217FF1"/>
    <w:rsid w:val="0023383D"/>
    <w:rsid w:val="00252D6D"/>
    <w:rsid w:val="00253B24"/>
    <w:rsid w:val="00270071"/>
    <w:rsid w:val="002740D6"/>
    <w:rsid w:val="00274549"/>
    <w:rsid w:val="00277DEA"/>
    <w:rsid w:val="002A2969"/>
    <w:rsid w:val="002C40D1"/>
    <w:rsid w:val="002E76AA"/>
    <w:rsid w:val="002F38FE"/>
    <w:rsid w:val="00313EF1"/>
    <w:rsid w:val="00332C02"/>
    <w:rsid w:val="00336837"/>
    <w:rsid w:val="00370095"/>
    <w:rsid w:val="0037519A"/>
    <w:rsid w:val="003776B6"/>
    <w:rsid w:val="003A3D22"/>
    <w:rsid w:val="003D00F9"/>
    <w:rsid w:val="003E18D3"/>
    <w:rsid w:val="003E616C"/>
    <w:rsid w:val="004108BC"/>
    <w:rsid w:val="00410ABB"/>
    <w:rsid w:val="00411EFB"/>
    <w:rsid w:val="00430081"/>
    <w:rsid w:val="0045352B"/>
    <w:rsid w:val="004806E1"/>
    <w:rsid w:val="004943F2"/>
    <w:rsid w:val="004D7A32"/>
    <w:rsid w:val="004F10A4"/>
    <w:rsid w:val="004F5FF3"/>
    <w:rsid w:val="00523372"/>
    <w:rsid w:val="00544FBB"/>
    <w:rsid w:val="00555AF7"/>
    <w:rsid w:val="00587AEB"/>
    <w:rsid w:val="005D26BD"/>
    <w:rsid w:val="005F02AC"/>
    <w:rsid w:val="005F4D1F"/>
    <w:rsid w:val="006008C2"/>
    <w:rsid w:val="00600A1A"/>
    <w:rsid w:val="00613B3B"/>
    <w:rsid w:val="00635236"/>
    <w:rsid w:val="00640C59"/>
    <w:rsid w:val="006412B4"/>
    <w:rsid w:val="00643128"/>
    <w:rsid w:val="006B2CC6"/>
    <w:rsid w:val="006E2124"/>
    <w:rsid w:val="006E24A2"/>
    <w:rsid w:val="006F1EB8"/>
    <w:rsid w:val="00762DC1"/>
    <w:rsid w:val="007701C5"/>
    <w:rsid w:val="0077045D"/>
    <w:rsid w:val="007E581B"/>
    <w:rsid w:val="008052CD"/>
    <w:rsid w:val="008057AF"/>
    <w:rsid w:val="00806B50"/>
    <w:rsid w:val="00806DEB"/>
    <w:rsid w:val="008706BB"/>
    <w:rsid w:val="008801B2"/>
    <w:rsid w:val="008B45BE"/>
    <w:rsid w:val="008B6AF2"/>
    <w:rsid w:val="008C044F"/>
    <w:rsid w:val="008C7B90"/>
    <w:rsid w:val="008E0BFB"/>
    <w:rsid w:val="008F24D9"/>
    <w:rsid w:val="009148C9"/>
    <w:rsid w:val="00916805"/>
    <w:rsid w:val="0093540E"/>
    <w:rsid w:val="009430F7"/>
    <w:rsid w:val="009548E3"/>
    <w:rsid w:val="009D69A7"/>
    <w:rsid w:val="009E2CB7"/>
    <w:rsid w:val="009F052A"/>
    <w:rsid w:val="009F2331"/>
    <w:rsid w:val="00A109CD"/>
    <w:rsid w:val="00A364A9"/>
    <w:rsid w:val="00A74A67"/>
    <w:rsid w:val="00A92252"/>
    <w:rsid w:val="00A95FC8"/>
    <w:rsid w:val="00AA6310"/>
    <w:rsid w:val="00B21B8E"/>
    <w:rsid w:val="00B3371B"/>
    <w:rsid w:val="00B5033A"/>
    <w:rsid w:val="00B86725"/>
    <w:rsid w:val="00BB5EA4"/>
    <w:rsid w:val="00BC093E"/>
    <w:rsid w:val="00C04D5A"/>
    <w:rsid w:val="00C522F7"/>
    <w:rsid w:val="00C56491"/>
    <w:rsid w:val="00C77D9B"/>
    <w:rsid w:val="00C959B4"/>
    <w:rsid w:val="00CA283F"/>
    <w:rsid w:val="00CB14DC"/>
    <w:rsid w:val="00CC06A5"/>
    <w:rsid w:val="00CD2E86"/>
    <w:rsid w:val="00CD6B6D"/>
    <w:rsid w:val="00CF2E1F"/>
    <w:rsid w:val="00CF524A"/>
    <w:rsid w:val="00CF5B3F"/>
    <w:rsid w:val="00D05A15"/>
    <w:rsid w:val="00D07052"/>
    <w:rsid w:val="00D2599B"/>
    <w:rsid w:val="00D27C1C"/>
    <w:rsid w:val="00D32138"/>
    <w:rsid w:val="00D50ADE"/>
    <w:rsid w:val="00D50E64"/>
    <w:rsid w:val="00D67520"/>
    <w:rsid w:val="00D74DB0"/>
    <w:rsid w:val="00D75D04"/>
    <w:rsid w:val="00D862EF"/>
    <w:rsid w:val="00DD408F"/>
    <w:rsid w:val="00DE23F0"/>
    <w:rsid w:val="00E13C49"/>
    <w:rsid w:val="00E3458D"/>
    <w:rsid w:val="00EA058C"/>
    <w:rsid w:val="00EB6A15"/>
    <w:rsid w:val="00EC6F26"/>
    <w:rsid w:val="00EC6F84"/>
    <w:rsid w:val="00EC7414"/>
    <w:rsid w:val="00EE5A0A"/>
    <w:rsid w:val="00EE7AEC"/>
    <w:rsid w:val="00F10FD4"/>
    <w:rsid w:val="00F12999"/>
    <w:rsid w:val="00F16AA1"/>
    <w:rsid w:val="00F407A6"/>
    <w:rsid w:val="00F738CB"/>
    <w:rsid w:val="00F82A9A"/>
    <w:rsid w:val="00F83340"/>
    <w:rsid w:val="00FB2776"/>
    <w:rsid w:val="00FD0DE5"/>
    <w:rsid w:val="00FE4E55"/>
    <w:rsid w:val="00FF64C5"/>
    <w:rsid w:val="010C450B"/>
    <w:rsid w:val="0174420A"/>
    <w:rsid w:val="01893084"/>
    <w:rsid w:val="02033D08"/>
    <w:rsid w:val="021A6C4F"/>
    <w:rsid w:val="024A0BB7"/>
    <w:rsid w:val="02860CE1"/>
    <w:rsid w:val="02A06DF6"/>
    <w:rsid w:val="03311B51"/>
    <w:rsid w:val="035607B0"/>
    <w:rsid w:val="035A0B08"/>
    <w:rsid w:val="03DD3435"/>
    <w:rsid w:val="045521C0"/>
    <w:rsid w:val="04880F3B"/>
    <w:rsid w:val="04BB1052"/>
    <w:rsid w:val="05687CD1"/>
    <w:rsid w:val="05E27A84"/>
    <w:rsid w:val="07023E8A"/>
    <w:rsid w:val="073060B3"/>
    <w:rsid w:val="073F34F8"/>
    <w:rsid w:val="079B25E0"/>
    <w:rsid w:val="08A47722"/>
    <w:rsid w:val="08EE1782"/>
    <w:rsid w:val="091268D2"/>
    <w:rsid w:val="094625ED"/>
    <w:rsid w:val="098C0FAE"/>
    <w:rsid w:val="098E3A7F"/>
    <w:rsid w:val="09EF276F"/>
    <w:rsid w:val="0A1370D9"/>
    <w:rsid w:val="0A430D0D"/>
    <w:rsid w:val="0A783487"/>
    <w:rsid w:val="0A920A74"/>
    <w:rsid w:val="0ACC6B48"/>
    <w:rsid w:val="0B3B4932"/>
    <w:rsid w:val="0B8A5AE2"/>
    <w:rsid w:val="0BA06A0A"/>
    <w:rsid w:val="0BD065D0"/>
    <w:rsid w:val="0C460641"/>
    <w:rsid w:val="0C6A21B9"/>
    <w:rsid w:val="0CDE4AF1"/>
    <w:rsid w:val="0D2F7233"/>
    <w:rsid w:val="0D496625"/>
    <w:rsid w:val="0DB0649C"/>
    <w:rsid w:val="0E2234E7"/>
    <w:rsid w:val="0E832759"/>
    <w:rsid w:val="0F895718"/>
    <w:rsid w:val="0F900551"/>
    <w:rsid w:val="10FE773C"/>
    <w:rsid w:val="11731E51"/>
    <w:rsid w:val="119470D6"/>
    <w:rsid w:val="127E0B34"/>
    <w:rsid w:val="12C34E9D"/>
    <w:rsid w:val="137A735A"/>
    <w:rsid w:val="13B24508"/>
    <w:rsid w:val="13B57800"/>
    <w:rsid w:val="141259D8"/>
    <w:rsid w:val="141D7D8E"/>
    <w:rsid w:val="142E658A"/>
    <w:rsid w:val="143F69DA"/>
    <w:rsid w:val="148111FB"/>
    <w:rsid w:val="15D60886"/>
    <w:rsid w:val="15ED33A3"/>
    <w:rsid w:val="16722D36"/>
    <w:rsid w:val="16A220B2"/>
    <w:rsid w:val="16AB249D"/>
    <w:rsid w:val="16C32FBA"/>
    <w:rsid w:val="16D84848"/>
    <w:rsid w:val="170E235C"/>
    <w:rsid w:val="17DF4B2C"/>
    <w:rsid w:val="18417A35"/>
    <w:rsid w:val="18421AC0"/>
    <w:rsid w:val="18BB4177"/>
    <w:rsid w:val="19AD5CBE"/>
    <w:rsid w:val="19BC302E"/>
    <w:rsid w:val="1A33331F"/>
    <w:rsid w:val="1A644AB4"/>
    <w:rsid w:val="1AF847D0"/>
    <w:rsid w:val="1C136BB6"/>
    <w:rsid w:val="1C2C0216"/>
    <w:rsid w:val="1C4B5EA8"/>
    <w:rsid w:val="1D502DF1"/>
    <w:rsid w:val="1E1554ED"/>
    <w:rsid w:val="1F822F2C"/>
    <w:rsid w:val="1F8452B0"/>
    <w:rsid w:val="207B6E01"/>
    <w:rsid w:val="20BD4367"/>
    <w:rsid w:val="20D64E62"/>
    <w:rsid w:val="2165554F"/>
    <w:rsid w:val="22446C29"/>
    <w:rsid w:val="22622886"/>
    <w:rsid w:val="22DC616C"/>
    <w:rsid w:val="23B802A0"/>
    <w:rsid w:val="24961F6E"/>
    <w:rsid w:val="24A25124"/>
    <w:rsid w:val="24A361D8"/>
    <w:rsid w:val="26252182"/>
    <w:rsid w:val="265E174C"/>
    <w:rsid w:val="2686038F"/>
    <w:rsid w:val="27FA7072"/>
    <w:rsid w:val="28C72B2B"/>
    <w:rsid w:val="2912392D"/>
    <w:rsid w:val="29E82667"/>
    <w:rsid w:val="2A241E9E"/>
    <w:rsid w:val="2A875297"/>
    <w:rsid w:val="2AD43590"/>
    <w:rsid w:val="2B9B3EA4"/>
    <w:rsid w:val="2C874AAF"/>
    <w:rsid w:val="2C8E66A6"/>
    <w:rsid w:val="2CAF5168"/>
    <w:rsid w:val="2CBB47F9"/>
    <w:rsid w:val="2D4A1910"/>
    <w:rsid w:val="2D4B190A"/>
    <w:rsid w:val="2D611888"/>
    <w:rsid w:val="2D731FB6"/>
    <w:rsid w:val="2D9708A4"/>
    <w:rsid w:val="2DED34CC"/>
    <w:rsid w:val="2EFD1D1D"/>
    <w:rsid w:val="2F2851D6"/>
    <w:rsid w:val="2F3A186E"/>
    <w:rsid w:val="2F3B2F8F"/>
    <w:rsid w:val="2F3D1C08"/>
    <w:rsid w:val="2F635E07"/>
    <w:rsid w:val="2FC42E20"/>
    <w:rsid w:val="301E6878"/>
    <w:rsid w:val="305D5DD5"/>
    <w:rsid w:val="30E107B4"/>
    <w:rsid w:val="31114A03"/>
    <w:rsid w:val="32852601"/>
    <w:rsid w:val="332433C5"/>
    <w:rsid w:val="332845FB"/>
    <w:rsid w:val="3376156C"/>
    <w:rsid w:val="348E387D"/>
    <w:rsid w:val="356202E4"/>
    <w:rsid w:val="35A46FAE"/>
    <w:rsid w:val="35EF127D"/>
    <w:rsid w:val="36733CD8"/>
    <w:rsid w:val="37F05781"/>
    <w:rsid w:val="391B05DB"/>
    <w:rsid w:val="398960D8"/>
    <w:rsid w:val="3A066436"/>
    <w:rsid w:val="3A1514CF"/>
    <w:rsid w:val="3A2516BB"/>
    <w:rsid w:val="3AE10910"/>
    <w:rsid w:val="3AFB4323"/>
    <w:rsid w:val="3B3C635C"/>
    <w:rsid w:val="3B563000"/>
    <w:rsid w:val="3CA202DF"/>
    <w:rsid w:val="3CCB04A6"/>
    <w:rsid w:val="3CD37326"/>
    <w:rsid w:val="3DDB658B"/>
    <w:rsid w:val="3E5C29CA"/>
    <w:rsid w:val="3EED354E"/>
    <w:rsid w:val="3EF46D14"/>
    <w:rsid w:val="3F173AB4"/>
    <w:rsid w:val="3F7A539C"/>
    <w:rsid w:val="3FA728BD"/>
    <w:rsid w:val="3FB5783A"/>
    <w:rsid w:val="404B0923"/>
    <w:rsid w:val="405857FB"/>
    <w:rsid w:val="408338D7"/>
    <w:rsid w:val="41510996"/>
    <w:rsid w:val="42147451"/>
    <w:rsid w:val="43881670"/>
    <w:rsid w:val="43E82525"/>
    <w:rsid w:val="44A8055A"/>
    <w:rsid w:val="44BA68F8"/>
    <w:rsid w:val="45AF30FD"/>
    <w:rsid w:val="465B3014"/>
    <w:rsid w:val="46BC2AFB"/>
    <w:rsid w:val="472F5293"/>
    <w:rsid w:val="47905EE7"/>
    <w:rsid w:val="47DB0FE0"/>
    <w:rsid w:val="485A4022"/>
    <w:rsid w:val="4886767F"/>
    <w:rsid w:val="48986B3F"/>
    <w:rsid w:val="49B66251"/>
    <w:rsid w:val="4A452406"/>
    <w:rsid w:val="4BB93099"/>
    <w:rsid w:val="4C983030"/>
    <w:rsid w:val="4CAC5709"/>
    <w:rsid w:val="4D4D2EE2"/>
    <w:rsid w:val="4D927DCE"/>
    <w:rsid w:val="4DEC44F9"/>
    <w:rsid w:val="4E9609D8"/>
    <w:rsid w:val="4F3A75B6"/>
    <w:rsid w:val="4F8A1859"/>
    <w:rsid w:val="4FE958A7"/>
    <w:rsid w:val="502D24E4"/>
    <w:rsid w:val="50F747E5"/>
    <w:rsid w:val="511E5BAD"/>
    <w:rsid w:val="51BC2AE8"/>
    <w:rsid w:val="51C61D96"/>
    <w:rsid w:val="528D5C4E"/>
    <w:rsid w:val="52A336C4"/>
    <w:rsid w:val="52CE5689"/>
    <w:rsid w:val="53412131"/>
    <w:rsid w:val="53A476F3"/>
    <w:rsid w:val="540B32CF"/>
    <w:rsid w:val="54B82311"/>
    <w:rsid w:val="558A3D0F"/>
    <w:rsid w:val="565E6C2C"/>
    <w:rsid w:val="569E5C28"/>
    <w:rsid w:val="57313D11"/>
    <w:rsid w:val="578D69F6"/>
    <w:rsid w:val="57BE1510"/>
    <w:rsid w:val="57DD55F9"/>
    <w:rsid w:val="58984C16"/>
    <w:rsid w:val="5950697A"/>
    <w:rsid w:val="599A4762"/>
    <w:rsid w:val="59CD7278"/>
    <w:rsid w:val="5B5877E2"/>
    <w:rsid w:val="5B8E0A22"/>
    <w:rsid w:val="5BAD489A"/>
    <w:rsid w:val="5BCD3412"/>
    <w:rsid w:val="5BE3458F"/>
    <w:rsid w:val="5D12474B"/>
    <w:rsid w:val="5DD0286D"/>
    <w:rsid w:val="5E2F4302"/>
    <w:rsid w:val="5E8C12D3"/>
    <w:rsid w:val="5EA6784A"/>
    <w:rsid w:val="5EEA0F2A"/>
    <w:rsid w:val="5F27742B"/>
    <w:rsid w:val="5F9D1CA2"/>
    <w:rsid w:val="5FD300DB"/>
    <w:rsid w:val="5FE25B93"/>
    <w:rsid w:val="5FF53085"/>
    <w:rsid w:val="608C59E7"/>
    <w:rsid w:val="60A52784"/>
    <w:rsid w:val="60F9120D"/>
    <w:rsid w:val="61095D5D"/>
    <w:rsid w:val="61284751"/>
    <w:rsid w:val="61C422AA"/>
    <w:rsid w:val="62461009"/>
    <w:rsid w:val="642A0711"/>
    <w:rsid w:val="644A3AA8"/>
    <w:rsid w:val="655541D3"/>
    <w:rsid w:val="65594766"/>
    <w:rsid w:val="65A568B8"/>
    <w:rsid w:val="65AE22F3"/>
    <w:rsid w:val="66465782"/>
    <w:rsid w:val="66726AF9"/>
    <w:rsid w:val="670A4733"/>
    <w:rsid w:val="673D5A3D"/>
    <w:rsid w:val="67DE5EA5"/>
    <w:rsid w:val="68401D42"/>
    <w:rsid w:val="684C7E1B"/>
    <w:rsid w:val="6850354E"/>
    <w:rsid w:val="68DF308E"/>
    <w:rsid w:val="69077DF5"/>
    <w:rsid w:val="691015F0"/>
    <w:rsid w:val="69F006B4"/>
    <w:rsid w:val="6A16299D"/>
    <w:rsid w:val="6AA9175D"/>
    <w:rsid w:val="6B8005EE"/>
    <w:rsid w:val="6C0168CA"/>
    <w:rsid w:val="6D0B604A"/>
    <w:rsid w:val="6DAC05BE"/>
    <w:rsid w:val="6F8373FF"/>
    <w:rsid w:val="6FDE7145"/>
    <w:rsid w:val="7023779A"/>
    <w:rsid w:val="7025059A"/>
    <w:rsid w:val="70656D61"/>
    <w:rsid w:val="71B752F6"/>
    <w:rsid w:val="71E847F7"/>
    <w:rsid w:val="725809D6"/>
    <w:rsid w:val="726E061C"/>
    <w:rsid w:val="72BD5C84"/>
    <w:rsid w:val="73875405"/>
    <w:rsid w:val="73B74532"/>
    <w:rsid w:val="73C24205"/>
    <w:rsid w:val="74425F26"/>
    <w:rsid w:val="748F3650"/>
    <w:rsid w:val="74CC7CBB"/>
    <w:rsid w:val="75847F67"/>
    <w:rsid w:val="75D51D74"/>
    <w:rsid w:val="76201426"/>
    <w:rsid w:val="76DC7584"/>
    <w:rsid w:val="774E2667"/>
    <w:rsid w:val="780517EC"/>
    <w:rsid w:val="78866113"/>
    <w:rsid w:val="78CB6FB8"/>
    <w:rsid w:val="78EA3B59"/>
    <w:rsid w:val="79004B1D"/>
    <w:rsid w:val="791A1EB8"/>
    <w:rsid w:val="7AD8717E"/>
    <w:rsid w:val="7B11145D"/>
    <w:rsid w:val="7B360113"/>
    <w:rsid w:val="7C272A20"/>
    <w:rsid w:val="7C8660BD"/>
    <w:rsid w:val="7CA05978"/>
    <w:rsid w:val="7D2B0DAC"/>
    <w:rsid w:val="7D982F9D"/>
    <w:rsid w:val="7ECD60E1"/>
    <w:rsid w:val="7EE86560"/>
    <w:rsid w:val="7F09259F"/>
    <w:rsid w:val="7F2B6214"/>
    <w:rsid w:val="7F851177"/>
    <w:rsid w:val="7FBC5227"/>
    <w:rsid w:val="7FEE047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qFormat="1" w:unhideWhenUsed="0" w:uiPriority="99" w:name="index 4"/>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qFormat="1" w:unhideWhenUsed="0" w:uiPriority="99" w:name="table of figures"/>
    <w:lsdException w:uiPriority="99" w:name="envelope address" w:locked="1"/>
    <w:lsdException w:qFormat="1" w:unhideWhenUsed="0" w:uiPriority="99" w:semiHidden="0" w:name="envelope return"/>
    <w:lsdException w:qFormat="1"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qFormat="1" w:unhideWhenUsed="0" w:uiPriority="99" w:semiHidden="0" w:name="Date"/>
    <w:lsdException w:qFormat="1" w:unhideWhenUsed="0" w:uiPriority="0" w:semiHidden="0" w:name="Body Text First Indent" w:locked="1"/>
    <w:lsdException w:qFormat="1" w:unhideWhenUsed="0" w:uiPriority="99" w:semiHidden="0" w:name="Body Text First Indent 2"/>
    <w:lsdException w:uiPriority="99"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uiPriority="99" w:name="E-mail Signature" w:locked="1"/>
    <w:lsdException w:qFormat="1" w:unhideWhenUsed="0" w:uiPriority="99" w:semiHidden="0" w:name="Normal (Web)"/>
    <w:lsdException w:qFormat="1" w:unhideWhenUsed="0" w:uiPriority="99" w:semiHidden="0" w:name="HTML Acronym"/>
    <w:lsdException w:uiPriority="99" w:name="HTML Address" w:locked="1"/>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uiPriority="99" w:name="HTML Preformatted" w:locked="1"/>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68"/>
    <w:autoRedefine/>
    <w:qFormat/>
    <w:uiPriority w:val="99"/>
    <w:pPr>
      <w:keepNext/>
      <w:keepLines/>
      <w:spacing w:before="340" w:after="330" w:line="360" w:lineRule="auto"/>
      <w:jc w:val="center"/>
      <w:outlineLvl w:val="0"/>
    </w:pPr>
    <w:rPr>
      <w:rFonts w:eastAsia="仿宋"/>
      <w:b/>
      <w:bCs/>
      <w:kern w:val="44"/>
      <w:sz w:val="30"/>
      <w:szCs w:val="44"/>
    </w:rPr>
  </w:style>
  <w:style w:type="paragraph" w:styleId="4">
    <w:name w:val="heading 2"/>
    <w:basedOn w:val="1"/>
    <w:next w:val="1"/>
    <w:link w:val="69"/>
    <w:qFormat/>
    <w:uiPriority w:val="99"/>
    <w:pPr>
      <w:keepNext/>
      <w:keepLines/>
      <w:spacing w:before="260" w:after="260" w:line="416" w:lineRule="auto"/>
      <w:outlineLvl w:val="1"/>
    </w:pPr>
    <w:rPr>
      <w:rFonts w:ascii="Arial" w:hAnsi="Arial" w:eastAsia="黑体" w:cs="Arial"/>
      <w:b/>
      <w:bCs/>
      <w:sz w:val="32"/>
      <w:szCs w:val="32"/>
    </w:rPr>
  </w:style>
  <w:style w:type="paragraph" w:styleId="5">
    <w:name w:val="heading 3"/>
    <w:basedOn w:val="1"/>
    <w:next w:val="1"/>
    <w:link w:val="70"/>
    <w:qFormat/>
    <w:uiPriority w:val="99"/>
    <w:pPr>
      <w:keepNext/>
      <w:keepLines/>
      <w:spacing w:before="260" w:after="260" w:line="416" w:lineRule="auto"/>
      <w:outlineLvl w:val="2"/>
    </w:pPr>
    <w:rPr>
      <w:b/>
      <w:bCs/>
      <w:sz w:val="32"/>
      <w:szCs w:val="32"/>
    </w:rPr>
  </w:style>
  <w:style w:type="paragraph" w:styleId="6">
    <w:name w:val="heading 4"/>
    <w:basedOn w:val="1"/>
    <w:next w:val="1"/>
    <w:link w:val="71"/>
    <w:autoRedefine/>
    <w:qFormat/>
    <w:uiPriority w:val="99"/>
    <w:pPr>
      <w:keepNext/>
      <w:keepLines/>
      <w:spacing w:before="280" w:after="290" w:line="372" w:lineRule="auto"/>
      <w:outlineLvl w:val="3"/>
    </w:pPr>
    <w:rPr>
      <w:rFonts w:ascii="Cambria" w:hAnsi="Cambria" w:cs="Cambria"/>
      <w:b/>
      <w:bCs/>
      <w:sz w:val="28"/>
      <w:szCs w:val="28"/>
    </w:rPr>
  </w:style>
  <w:style w:type="paragraph" w:styleId="7">
    <w:name w:val="heading 5"/>
    <w:basedOn w:val="1"/>
    <w:next w:val="1"/>
    <w:link w:val="72"/>
    <w:autoRedefine/>
    <w:qFormat/>
    <w:uiPriority w:val="99"/>
    <w:pPr>
      <w:keepNext/>
      <w:keepLines/>
      <w:spacing w:before="280" w:after="290" w:line="372" w:lineRule="auto"/>
      <w:outlineLvl w:val="4"/>
    </w:pPr>
    <w:rPr>
      <w:rFonts w:ascii="Calibri" w:hAnsi="Calibri" w:cs="Calibri"/>
      <w:b/>
      <w:bCs/>
      <w:sz w:val="28"/>
      <w:szCs w:val="28"/>
    </w:rPr>
  </w:style>
  <w:style w:type="paragraph" w:styleId="8">
    <w:name w:val="heading 6"/>
    <w:basedOn w:val="1"/>
    <w:next w:val="1"/>
    <w:link w:val="73"/>
    <w:autoRedefine/>
    <w:qFormat/>
    <w:uiPriority w:val="99"/>
    <w:pPr>
      <w:keepNext/>
      <w:keepLines/>
      <w:spacing w:before="240" w:after="64" w:line="317" w:lineRule="auto"/>
      <w:outlineLvl w:val="5"/>
    </w:pPr>
    <w:rPr>
      <w:rFonts w:ascii="Cambria" w:hAnsi="Cambria" w:cs="Cambria"/>
      <w:b/>
      <w:bCs/>
      <w:sz w:val="24"/>
      <w:szCs w:val="24"/>
    </w:rPr>
  </w:style>
  <w:style w:type="paragraph" w:styleId="9">
    <w:name w:val="heading 7"/>
    <w:basedOn w:val="1"/>
    <w:next w:val="1"/>
    <w:link w:val="74"/>
    <w:qFormat/>
    <w:uiPriority w:val="99"/>
    <w:pPr>
      <w:keepNext/>
      <w:keepLines/>
      <w:spacing w:before="240" w:after="64" w:line="317" w:lineRule="auto"/>
      <w:outlineLvl w:val="6"/>
    </w:pPr>
    <w:rPr>
      <w:rFonts w:ascii="Calibri" w:hAnsi="Calibri" w:cs="Calibri"/>
      <w:b/>
      <w:bCs/>
      <w:sz w:val="24"/>
      <w:szCs w:val="24"/>
    </w:rPr>
  </w:style>
  <w:style w:type="paragraph" w:styleId="10">
    <w:name w:val="heading 8"/>
    <w:basedOn w:val="1"/>
    <w:next w:val="1"/>
    <w:link w:val="75"/>
    <w:autoRedefine/>
    <w:qFormat/>
    <w:uiPriority w:val="99"/>
    <w:pPr>
      <w:keepNext/>
      <w:keepLines/>
      <w:spacing w:before="240" w:after="64" w:line="317" w:lineRule="auto"/>
      <w:outlineLvl w:val="7"/>
    </w:pPr>
    <w:rPr>
      <w:rFonts w:ascii="Cambria" w:hAnsi="Cambria" w:cs="Cambria"/>
      <w:sz w:val="24"/>
      <w:szCs w:val="24"/>
    </w:rPr>
  </w:style>
  <w:style w:type="paragraph" w:styleId="11">
    <w:name w:val="heading 9"/>
    <w:basedOn w:val="1"/>
    <w:next w:val="1"/>
    <w:link w:val="76"/>
    <w:autoRedefine/>
    <w:qFormat/>
    <w:uiPriority w:val="99"/>
    <w:pPr>
      <w:keepNext/>
      <w:keepLines/>
      <w:spacing w:before="240" w:after="64" w:line="317" w:lineRule="auto"/>
      <w:outlineLvl w:val="8"/>
    </w:pPr>
    <w:rPr>
      <w:rFonts w:ascii="Cambria" w:hAnsi="Cambria" w:cs="Cambria"/>
    </w:rPr>
  </w:style>
  <w:style w:type="character" w:default="1" w:styleId="51">
    <w:name w:val="Default Paragraph Font"/>
    <w:autoRedefine/>
    <w:semiHidden/>
    <w:qFormat/>
    <w:uiPriority w:val="99"/>
  </w:style>
  <w:style w:type="table" w:default="1" w:styleId="49">
    <w:name w:val="Normal Table"/>
    <w:autoRedefine/>
    <w:semiHidden/>
    <w:unhideWhenUsed/>
    <w:qFormat/>
    <w:uiPriority w:val="99"/>
    <w:tblPr>
      <w:tblCellMar>
        <w:top w:w="0" w:type="dxa"/>
        <w:left w:w="108" w:type="dxa"/>
        <w:bottom w:w="0" w:type="dxa"/>
        <w:right w:w="108" w:type="dxa"/>
      </w:tblCellMar>
    </w:tblPr>
  </w:style>
  <w:style w:type="paragraph" w:customStyle="1" w:styleId="2">
    <w:name w:val="l正文"/>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paragraph" w:styleId="12">
    <w:name w:val="toc 7"/>
    <w:basedOn w:val="1"/>
    <w:next w:val="1"/>
    <w:autoRedefine/>
    <w:semiHidden/>
    <w:qFormat/>
    <w:uiPriority w:val="99"/>
    <w:pPr>
      <w:ind w:left="2520" w:leftChars="1200"/>
    </w:pPr>
    <w:rPr>
      <w:rFonts w:ascii="Calibri" w:hAnsi="Calibri" w:cs="Calibri"/>
    </w:rPr>
  </w:style>
  <w:style w:type="paragraph" w:styleId="13">
    <w:name w:val="Normal Indent"/>
    <w:basedOn w:val="1"/>
    <w:autoRedefine/>
    <w:qFormat/>
    <w:uiPriority w:val="99"/>
    <w:pPr>
      <w:adjustRightInd w:val="0"/>
      <w:spacing w:line="360" w:lineRule="atLeast"/>
      <w:ind w:firstLine="482"/>
      <w:textAlignment w:val="baseline"/>
    </w:pPr>
    <w:rPr>
      <w:kern w:val="0"/>
      <w:sz w:val="24"/>
      <w:szCs w:val="24"/>
    </w:rPr>
  </w:style>
  <w:style w:type="paragraph" w:styleId="14">
    <w:name w:val="caption"/>
    <w:basedOn w:val="1"/>
    <w:next w:val="1"/>
    <w:autoRedefine/>
    <w:qFormat/>
    <w:uiPriority w:val="99"/>
    <w:rPr>
      <w:rFonts w:ascii="Cambria" w:hAnsi="Cambria" w:eastAsia="黑体" w:cs="Cambria"/>
      <w:sz w:val="20"/>
      <w:szCs w:val="20"/>
    </w:rPr>
  </w:style>
  <w:style w:type="paragraph" w:styleId="15">
    <w:name w:val="Document Map"/>
    <w:basedOn w:val="1"/>
    <w:link w:val="77"/>
    <w:autoRedefine/>
    <w:semiHidden/>
    <w:qFormat/>
    <w:uiPriority w:val="99"/>
    <w:pPr>
      <w:shd w:val="clear" w:color="auto" w:fill="000080"/>
    </w:pPr>
    <w:rPr>
      <w:kern w:val="0"/>
      <w:sz w:val="20"/>
      <w:szCs w:val="20"/>
      <w:shd w:val="clear" w:color="auto" w:fill="000080"/>
    </w:rPr>
  </w:style>
  <w:style w:type="paragraph" w:styleId="16">
    <w:name w:val="annotation text"/>
    <w:basedOn w:val="1"/>
    <w:link w:val="78"/>
    <w:autoRedefine/>
    <w:semiHidden/>
    <w:qFormat/>
    <w:uiPriority w:val="99"/>
    <w:pPr>
      <w:jc w:val="left"/>
    </w:pPr>
  </w:style>
  <w:style w:type="paragraph" w:styleId="17">
    <w:name w:val="Body Text 3"/>
    <w:basedOn w:val="1"/>
    <w:link w:val="79"/>
    <w:autoRedefine/>
    <w:qFormat/>
    <w:uiPriority w:val="99"/>
    <w:rPr>
      <w:rFonts w:ascii="宋体" w:cs="宋体"/>
      <w:sz w:val="24"/>
      <w:szCs w:val="24"/>
    </w:rPr>
  </w:style>
  <w:style w:type="paragraph" w:styleId="18">
    <w:name w:val="Body Text"/>
    <w:basedOn w:val="1"/>
    <w:next w:val="19"/>
    <w:link w:val="80"/>
    <w:autoRedefine/>
    <w:qFormat/>
    <w:uiPriority w:val="99"/>
    <w:pPr>
      <w:jc w:val="center"/>
    </w:pPr>
    <w:rPr>
      <w:b/>
      <w:bCs/>
      <w:sz w:val="44"/>
      <w:szCs w:val="44"/>
    </w:rPr>
  </w:style>
  <w:style w:type="paragraph" w:customStyle="1" w:styleId="19">
    <w:name w:val="Default"/>
    <w:autoRedefine/>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styleId="20">
    <w:name w:val="Body Text Indent"/>
    <w:basedOn w:val="1"/>
    <w:next w:val="21"/>
    <w:link w:val="81"/>
    <w:autoRedefine/>
    <w:qFormat/>
    <w:uiPriority w:val="99"/>
    <w:pPr>
      <w:spacing w:line="500" w:lineRule="exact"/>
      <w:ind w:firstLine="538"/>
    </w:pPr>
    <w:rPr>
      <w:sz w:val="28"/>
      <w:szCs w:val="28"/>
    </w:rPr>
  </w:style>
  <w:style w:type="paragraph" w:styleId="21">
    <w:name w:val="envelope return"/>
    <w:basedOn w:val="1"/>
    <w:next w:val="12"/>
    <w:autoRedefine/>
    <w:qFormat/>
    <w:uiPriority w:val="99"/>
    <w:pPr>
      <w:snapToGrid w:val="0"/>
    </w:pPr>
    <w:rPr>
      <w:rFonts w:ascii="Arial" w:hAnsi="Arial"/>
    </w:rPr>
  </w:style>
  <w:style w:type="paragraph" w:styleId="22">
    <w:name w:val="Block Text"/>
    <w:basedOn w:val="1"/>
    <w:autoRedefine/>
    <w:qFormat/>
    <w:uiPriority w:val="99"/>
    <w:pPr>
      <w:spacing w:line="400" w:lineRule="exact"/>
      <w:ind w:left="-359" w:leftChars="-171" w:right="31" w:rightChars="15" w:firstLine="980" w:firstLineChars="350"/>
    </w:pPr>
    <w:rPr>
      <w:rFonts w:ascii="宋体" w:hAnsi="宋体" w:cs="宋体"/>
      <w:sz w:val="28"/>
      <w:szCs w:val="28"/>
    </w:rPr>
  </w:style>
  <w:style w:type="paragraph" w:styleId="23">
    <w:name w:val="index 4"/>
    <w:basedOn w:val="1"/>
    <w:next w:val="1"/>
    <w:autoRedefine/>
    <w:semiHidden/>
    <w:qFormat/>
    <w:uiPriority w:val="99"/>
    <w:pPr>
      <w:ind w:left="600" w:leftChars="600"/>
    </w:pPr>
  </w:style>
  <w:style w:type="paragraph" w:styleId="24">
    <w:name w:val="toc 5"/>
    <w:basedOn w:val="1"/>
    <w:next w:val="1"/>
    <w:autoRedefine/>
    <w:semiHidden/>
    <w:qFormat/>
    <w:uiPriority w:val="99"/>
    <w:pPr>
      <w:tabs>
        <w:tab w:val="right" w:leader="dot" w:pos="8296"/>
      </w:tabs>
      <w:ind w:left="1050" w:leftChars="500"/>
    </w:pPr>
    <w:rPr>
      <w:rFonts w:ascii="Calibri" w:hAnsi="Calibri" w:cs="Calibri"/>
    </w:rPr>
  </w:style>
  <w:style w:type="paragraph" w:styleId="25">
    <w:name w:val="toc 3"/>
    <w:basedOn w:val="1"/>
    <w:next w:val="1"/>
    <w:autoRedefine/>
    <w:semiHidden/>
    <w:qFormat/>
    <w:uiPriority w:val="99"/>
    <w:pPr>
      <w:ind w:left="840" w:leftChars="400"/>
    </w:pPr>
    <w:rPr>
      <w:rFonts w:ascii="Calibri" w:hAnsi="Calibri" w:cs="Calibri"/>
    </w:rPr>
  </w:style>
  <w:style w:type="paragraph" w:styleId="26">
    <w:name w:val="Plain Text"/>
    <w:basedOn w:val="1"/>
    <w:next w:val="1"/>
    <w:link w:val="82"/>
    <w:autoRedefine/>
    <w:qFormat/>
    <w:uiPriority w:val="99"/>
    <w:rPr>
      <w:rFonts w:ascii="宋体" w:hAnsi="Courier New" w:cs="宋体"/>
    </w:rPr>
  </w:style>
  <w:style w:type="paragraph" w:styleId="27">
    <w:name w:val="toc 8"/>
    <w:basedOn w:val="1"/>
    <w:next w:val="1"/>
    <w:autoRedefine/>
    <w:semiHidden/>
    <w:qFormat/>
    <w:uiPriority w:val="99"/>
    <w:pPr>
      <w:ind w:left="2940" w:leftChars="1400"/>
    </w:pPr>
    <w:rPr>
      <w:rFonts w:ascii="Calibri" w:hAnsi="Calibri" w:cs="Calibri"/>
    </w:rPr>
  </w:style>
  <w:style w:type="paragraph" w:styleId="28">
    <w:name w:val="Date"/>
    <w:basedOn w:val="1"/>
    <w:next w:val="1"/>
    <w:link w:val="83"/>
    <w:autoRedefine/>
    <w:qFormat/>
    <w:uiPriority w:val="99"/>
    <w:rPr>
      <w:rFonts w:ascii="仿宋_GB2312" w:eastAsia="仿宋_GB2312" w:cs="仿宋_GB2312"/>
      <w:sz w:val="30"/>
      <w:szCs w:val="30"/>
    </w:rPr>
  </w:style>
  <w:style w:type="paragraph" w:styleId="29">
    <w:name w:val="Body Text Indent 2"/>
    <w:basedOn w:val="1"/>
    <w:link w:val="84"/>
    <w:autoRedefine/>
    <w:qFormat/>
    <w:uiPriority w:val="99"/>
    <w:pPr>
      <w:spacing w:line="360" w:lineRule="exact"/>
      <w:ind w:firstLine="600" w:firstLineChars="250"/>
      <w:jc w:val="left"/>
    </w:pPr>
    <w:rPr>
      <w:sz w:val="24"/>
      <w:szCs w:val="24"/>
    </w:rPr>
  </w:style>
  <w:style w:type="paragraph" w:styleId="30">
    <w:name w:val="Balloon Text"/>
    <w:basedOn w:val="1"/>
    <w:link w:val="85"/>
    <w:autoRedefine/>
    <w:semiHidden/>
    <w:qFormat/>
    <w:uiPriority w:val="99"/>
    <w:rPr>
      <w:sz w:val="18"/>
      <w:szCs w:val="18"/>
    </w:rPr>
  </w:style>
  <w:style w:type="paragraph" w:styleId="31">
    <w:name w:val="footer"/>
    <w:basedOn w:val="1"/>
    <w:link w:val="86"/>
    <w:autoRedefine/>
    <w:qFormat/>
    <w:uiPriority w:val="99"/>
    <w:pPr>
      <w:tabs>
        <w:tab w:val="center" w:pos="4153"/>
        <w:tab w:val="right" w:pos="8306"/>
      </w:tabs>
      <w:snapToGrid w:val="0"/>
      <w:jc w:val="left"/>
    </w:pPr>
    <w:rPr>
      <w:sz w:val="18"/>
      <w:szCs w:val="18"/>
    </w:rPr>
  </w:style>
  <w:style w:type="paragraph" w:styleId="32">
    <w:name w:val="header"/>
    <w:basedOn w:val="1"/>
    <w:link w:val="87"/>
    <w:autoRedefine/>
    <w:qFormat/>
    <w:uiPriority w:val="99"/>
    <w:pPr>
      <w:pBdr>
        <w:bottom w:val="single" w:color="auto" w:sz="6" w:space="1"/>
      </w:pBdr>
      <w:tabs>
        <w:tab w:val="center" w:pos="4153"/>
        <w:tab w:val="right" w:pos="8306"/>
      </w:tabs>
      <w:snapToGrid w:val="0"/>
      <w:jc w:val="center"/>
    </w:pPr>
    <w:rPr>
      <w:sz w:val="18"/>
      <w:szCs w:val="18"/>
    </w:rPr>
  </w:style>
  <w:style w:type="paragraph" w:styleId="33">
    <w:name w:val="toc 1"/>
    <w:basedOn w:val="1"/>
    <w:next w:val="1"/>
    <w:autoRedefine/>
    <w:semiHidden/>
    <w:qFormat/>
    <w:uiPriority w:val="99"/>
    <w:pPr>
      <w:tabs>
        <w:tab w:val="right" w:leader="dot" w:pos="8296"/>
      </w:tabs>
    </w:pPr>
    <w:rPr>
      <w:rFonts w:ascii="宋体" w:eastAsia="楷体_GB2312" w:cs="宋体"/>
      <w:b/>
      <w:bCs/>
      <w:kern w:val="0"/>
      <w:sz w:val="28"/>
      <w:szCs w:val="28"/>
    </w:rPr>
  </w:style>
  <w:style w:type="paragraph" w:styleId="34">
    <w:name w:val="toc 4"/>
    <w:basedOn w:val="1"/>
    <w:next w:val="1"/>
    <w:autoRedefine/>
    <w:semiHidden/>
    <w:qFormat/>
    <w:uiPriority w:val="99"/>
    <w:pPr>
      <w:tabs>
        <w:tab w:val="left" w:pos="1890"/>
        <w:tab w:val="right" w:leader="dot" w:pos="8296"/>
      </w:tabs>
      <w:ind w:left="630" w:leftChars="300"/>
    </w:pPr>
    <w:rPr>
      <w:rFonts w:ascii="Calibri" w:hAnsi="Calibri" w:cs="Calibri"/>
    </w:rPr>
  </w:style>
  <w:style w:type="paragraph" w:styleId="35">
    <w:name w:val="Subtitle"/>
    <w:basedOn w:val="1"/>
    <w:next w:val="1"/>
    <w:link w:val="88"/>
    <w:autoRedefine/>
    <w:qFormat/>
    <w:uiPriority w:val="99"/>
    <w:pPr>
      <w:spacing w:before="240" w:after="60" w:line="312" w:lineRule="auto"/>
      <w:jc w:val="center"/>
      <w:outlineLvl w:val="1"/>
    </w:pPr>
    <w:rPr>
      <w:rFonts w:ascii="Cambria" w:hAnsi="Cambria" w:cs="Cambria"/>
      <w:b/>
      <w:bCs/>
      <w:kern w:val="28"/>
      <w:sz w:val="32"/>
      <w:szCs w:val="32"/>
    </w:rPr>
  </w:style>
  <w:style w:type="paragraph" w:styleId="36">
    <w:name w:val="footnote text"/>
    <w:basedOn w:val="1"/>
    <w:link w:val="89"/>
    <w:autoRedefine/>
    <w:semiHidden/>
    <w:qFormat/>
    <w:uiPriority w:val="99"/>
    <w:rPr>
      <w:sz w:val="20"/>
      <w:szCs w:val="20"/>
    </w:rPr>
  </w:style>
  <w:style w:type="paragraph" w:styleId="37">
    <w:name w:val="toc 6"/>
    <w:basedOn w:val="1"/>
    <w:next w:val="1"/>
    <w:autoRedefine/>
    <w:semiHidden/>
    <w:qFormat/>
    <w:uiPriority w:val="99"/>
    <w:pPr>
      <w:ind w:left="2100" w:leftChars="1000"/>
    </w:pPr>
    <w:rPr>
      <w:rFonts w:ascii="Calibri" w:hAnsi="Calibri" w:cs="Calibri"/>
    </w:rPr>
  </w:style>
  <w:style w:type="paragraph" w:styleId="38">
    <w:name w:val="Body Text Indent 3"/>
    <w:basedOn w:val="1"/>
    <w:link w:val="90"/>
    <w:autoRedefine/>
    <w:qFormat/>
    <w:uiPriority w:val="99"/>
    <w:pPr>
      <w:spacing w:after="120"/>
      <w:ind w:left="420" w:leftChars="200"/>
    </w:pPr>
    <w:rPr>
      <w:sz w:val="16"/>
      <w:szCs w:val="16"/>
    </w:rPr>
  </w:style>
  <w:style w:type="paragraph" w:styleId="39">
    <w:name w:val="table of figures"/>
    <w:basedOn w:val="1"/>
    <w:next w:val="1"/>
    <w:autoRedefine/>
    <w:semiHidden/>
    <w:qFormat/>
    <w:uiPriority w:val="99"/>
    <w:pPr>
      <w:ind w:left="200" w:leftChars="200" w:hanging="200" w:hangingChars="200"/>
    </w:pPr>
  </w:style>
  <w:style w:type="paragraph" w:styleId="40">
    <w:name w:val="toc 2"/>
    <w:basedOn w:val="1"/>
    <w:next w:val="1"/>
    <w:autoRedefine/>
    <w:semiHidden/>
    <w:qFormat/>
    <w:uiPriority w:val="99"/>
    <w:pPr>
      <w:ind w:left="420" w:leftChars="200"/>
    </w:pPr>
    <w:rPr>
      <w:rFonts w:ascii="宋体" w:cs="宋体"/>
      <w:b/>
      <w:bCs/>
      <w:sz w:val="28"/>
      <w:szCs w:val="28"/>
    </w:rPr>
  </w:style>
  <w:style w:type="paragraph" w:styleId="41">
    <w:name w:val="toc 9"/>
    <w:basedOn w:val="1"/>
    <w:next w:val="1"/>
    <w:autoRedefine/>
    <w:semiHidden/>
    <w:qFormat/>
    <w:uiPriority w:val="99"/>
    <w:pPr>
      <w:ind w:left="3360" w:leftChars="1600"/>
    </w:pPr>
    <w:rPr>
      <w:rFonts w:ascii="Calibri" w:hAnsi="Calibri" w:cs="Calibri"/>
    </w:rPr>
  </w:style>
  <w:style w:type="paragraph" w:styleId="42">
    <w:name w:val="Body Text 2"/>
    <w:basedOn w:val="1"/>
    <w:link w:val="91"/>
    <w:autoRedefine/>
    <w:qFormat/>
    <w:uiPriority w:val="99"/>
    <w:pPr>
      <w:spacing w:line="440" w:lineRule="exact"/>
    </w:pPr>
    <w:rPr>
      <w:sz w:val="28"/>
      <w:szCs w:val="28"/>
    </w:rPr>
  </w:style>
  <w:style w:type="paragraph" w:styleId="43">
    <w:name w:val="Normal (Web)"/>
    <w:basedOn w:val="1"/>
    <w:next w:val="44"/>
    <w:autoRedefine/>
    <w:qFormat/>
    <w:uiPriority w:val="99"/>
    <w:pPr>
      <w:widowControl/>
      <w:spacing w:before="100" w:beforeAutospacing="1" w:after="100" w:afterAutospacing="1" w:line="320" w:lineRule="atLeast"/>
      <w:jc w:val="left"/>
    </w:pPr>
    <w:rPr>
      <w:rFonts w:ascii="宋体" w:hAnsi="宋体" w:cs="宋体"/>
      <w:kern w:val="0"/>
      <w:sz w:val="18"/>
      <w:szCs w:val="18"/>
    </w:rPr>
  </w:style>
  <w:style w:type="paragraph" w:customStyle="1" w:styleId="44">
    <w:name w:val="正文文字 8"/>
    <w:basedOn w:val="1"/>
    <w:next w:val="1"/>
    <w:autoRedefine/>
    <w:qFormat/>
    <w:uiPriority w:val="0"/>
    <w:pPr>
      <w:ind w:left="240"/>
    </w:pPr>
    <w:rPr>
      <w:sz w:val="16"/>
    </w:rPr>
  </w:style>
  <w:style w:type="paragraph" w:styleId="45">
    <w:name w:val="Title"/>
    <w:basedOn w:val="1"/>
    <w:next w:val="1"/>
    <w:link w:val="92"/>
    <w:autoRedefine/>
    <w:qFormat/>
    <w:uiPriority w:val="99"/>
    <w:pPr>
      <w:spacing w:before="240" w:after="60"/>
      <w:jc w:val="center"/>
      <w:outlineLvl w:val="0"/>
    </w:pPr>
    <w:rPr>
      <w:rFonts w:ascii="Cambria" w:hAnsi="Cambria" w:cs="Cambria"/>
      <w:b/>
      <w:bCs/>
      <w:sz w:val="32"/>
      <w:szCs w:val="32"/>
    </w:rPr>
  </w:style>
  <w:style w:type="paragraph" w:styleId="46">
    <w:name w:val="annotation subject"/>
    <w:basedOn w:val="16"/>
    <w:next w:val="16"/>
    <w:link w:val="93"/>
    <w:autoRedefine/>
    <w:semiHidden/>
    <w:qFormat/>
    <w:uiPriority w:val="99"/>
    <w:rPr>
      <w:rFonts w:ascii="宋体" w:cs="宋体"/>
      <w:b/>
      <w:bCs/>
      <w:kern w:val="0"/>
      <w:sz w:val="28"/>
      <w:szCs w:val="28"/>
    </w:rPr>
  </w:style>
  <w:style w:type="paragraph" w:styleId="47">
    <w:name w:val="Body Text First Indent"/>
    <w:basedOn w:val="18"/>
    <w:autoRedefine/>
    <w:qFormat/>
    <w:locked/>
    <w:uiPriority w:val="0"/>
    <w:pPr>
      <w:adjustRightInd/>
      <w:spacing w:after="120" w:line="240" w:lineRule="auto"/>
      <w:ind w:firstLine="420" w:firstLineChars="100"/>
      <w:jc w:val="both"/>
    </w:pPr>
  </w:style>
  <w:style w:type="paragraph" w:styleId="48">
    <w:name w:val="Body Text First Indent 2"/>
    <w:basedOn w:val="20"/>
    <w:next w:val="1"/>
    <w:link w:val="94"/>
    <w:autoRedefine/>
    <w:qFormat/>
    <w:uiPriority w:val="99"/>
    <w:pPr>
      <w:ind w:firstLine="420" w:firstLineChars="200"/>
    </w:pPr>
  </w:style>
  <w:style w:type="table" w:styleId="50">
    <w:name w:val="Table Grid"/>
    <w:basedOn w:val="49"/>
    <w:autoRedefine/>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2">
    <w:name w:val="Strong"/>
    <w:basedOn w:val="51"/>
    <w:autoRedefine/>
    <w:qFormat/>
    <w:uiPriority w:val="99"/>
    <w:rPr>
      <w:rFonts w:cs="Times New Roman"/>
      <w:b/>
      <w:bCs/>
    </w:rPr>
  </w:style>
  <w:style w:type="character" w:styleId="53">
    <w:name w:val="page number"/>
    <w:basedOn w:val="51"/>
    <w:autoRedefine/>
    <w:qFormat/>
    <w:uiPriority w:val="99"/>
    <w:rPr>
      <w:rFonts w:cs="Times New Roman"/>
    </w:rPr>
  </w:style>
  <w:style w:type="character" w:styleId="54">
    <w:name w:val="FollowedHyperlink"/>
    <w:basedOn w:val="51"/>
    <w:autoRedefine/>
    <w:qFormat/>
    <w:uiPriority w:val="99"/>
    <w:rPr>
      <w:rFonts w:cs="Times New Roman"/>
      <w:color w:val="333333"/>
      <w:u w:val="none"/>
    </w:rPr>
  </w:style>
  <w:style w:type="character" w:styleId="55">
    <w:name w:val="Emphasis"/>
    <w:basedOn w:val="51"/>
    <w:autoRedefine/>
    <w:qFormat/>
    <w:uiPriority w:val="99"/>
    <w:rPr>
      <w:rFonts w:cs="Times New Roman"/>
      <w:color w:val="auto"/>
    </w:rPr>
  </w:style>
  <w:style w:type="character" w:styleId="56">
    <w:name w:val="HTML Definition"/>
    <w:basedOn w:val="51"/>
    <w:autoRedefine/>
    <w:qFormat/>
    <w:uiPriority w:val="99"/>
    <w:rPr>
      <w:rFonts w:cs="Times New Roman"/>
    </w:rPr>
  </w:style>
  <w:style w:type="character" w:styleId="57">
    <w:name w:val="HTML Typewriter"/>
    <w:basedOn w:val="51"/>
    <w:autoRedefine/>
    <w:qFormat/>
    <w:uiPriority w:val="99"/>
    <w:rPr>
      <w:rFonts w:ascii="monospace" w:hAnsi="monospace" w:cs="monospace"/>
      <w:sz w:val="20"/>
    </w:rPr>
  </w:style>
  <w:style w:type="character" w:styleId="58">
    <w:name w:val="HTML Acronym"/>
    <w:basedOn w:val="51"/>
    <w:autoRedefine/>
    <w:qFormat/>
    <w:uiPriority w:val="99"/>
    <w:rPr>
      <w:rFonts w:cs="Times New Roman"/>
    </w:rPr>
  </w:style>
  <w:style w:type="character" w:styleId="59">
    <w:name w:val="HTML Variable"/>
    <w:basedOn w:val="51"/>
    <w:autoRedefine/>
    <w:qFormat/>
    <w:uiPriority w:val="99"/>
    <w:rPr>
      <w:rFonts w:cs="Times New Roman"/>
    </w:rPr>
  </w:style>
  <w:style w:type="character" w:styleId="60">
    <w:name w:val="Hyperlink"/>
    <w:basedOn w:val="51"/>
    <w:autoRedefine/>
    <w:qFormat/>
    <w:uiPriority w:val="99"/>
    <w:rPr>
      <w:rFonts w:cs="Times New Roman"/>
      <w:color w:val="333333"/>
      <w:u w:val="none"/>
    </w:rPr>
  </w:style>
  <w:style w:type="character" w:styleId="61">
    <w:name w:val="HTML Code"/>
    <w:basedOn w:val="51"/>
    <w:autoRedefine/>
    <w:qFormat/>
    <w:uiPriority w:val="99"/>
    <w:rPr>
      <w:rFonts w:ascii="monospace" w:hAnsi="monospace" w:cs="monospace"/>
      <w:sz w:val="20"/>
    </w:rPr>
  </w:style>
  <w:style w:type="character" w:styleId="62">
    <w:name w:val="annotation reference"/>
    <w:basedOn w:val="51"/>
    <w:autoRedefine/>
    <w:semiHidden/>
    <w:qFormat/>
    <w:uiPriority w:val="99"/>
    <w:rPr>
      <w:rFonts w:cs="Times New Roman"/>
      <w:sz w:val="21"/>
      <w:szCs w:val="21"/>
    </w:rPr>
  </w:style>
  <w:style w:type="character" w:styleId="63">
    <w:name w:val="HTML Cite"/>
    <w:basedOn w:val="51"/>
    <w:autoRedefine/>
    <w:qFormat/>
    <w:uiPriority w:val="99"/>
    <w:rPr>
      <w:rFonts w:cs="Times New Roman"/>
    </w:rPr>
  </w:style>
  <w:style w:type="character" w:styleId="64">
    <w:name w:val="footnote reference"/>
    <w:basedOn w:val="51"/>
    <w:autoRedefine/>
    <w:semiHidden/>
    <w:qFormat/>
    <w:uiPriority w:val="99"/>
    <w:rPr>
      <w:rFonts w:cs="Times New Roman"/>
      <w:vertAlign w:val="superscript"/>
    </w:rPr>
  </w:style>
  <w:style w:type="character" w:styleId="65">
    <w:name w:val="HTML Keyboard"/>
    <w:basedOn w:val="51"/>
    <w:autoRedefine/>
    <w:qFormat/>
    <w:uiPriority w:val="99"/>
    <w:rPr>
      <w:rFonts w:ascii="monospace" w:hAnsi="monospace" w:cs="monospace"/>
      <w:sz w:val="20"/>
    </w:rPr>
  </w:style>
  <w:style w:type="character" w:styleId="66">
    <w:name w:val="HTML Sample"/>
    <w:basedOn w:val="51"/>
    <w:autoRedefine/>
    <w:qFormat/>
    <w:uiPriority w:val="99"/>
    <w:rPr>
      <w:rFonts w:ascii="monospace" w:hAnsi="monospace" w:cs="monospace"/>
    </w:rPr>
  </w:style>
  <w:style w:type="paragraph" w:customStyle="1" w:styleId="67">
    <w:name w:val="列出段落1"/>
    <w:basedOn w:val="1"/>
    <w:autoRedefine/>
    <w:qFormat/>
    <w:uiPriority w:val="99"/>
    <w:pPr>
      <w:ind w:firstLine="420" w:firstLineChars="200"/>
    </w:pPr>
    <w:rPr>
      <w:rFonts w:ascii="Calibri" w:hAnsi="Calibri" w:cs="Calibri"/>
    </w:rPr>
  </w:style>
  <w:style w:type="character" w:customStyle="1" w:styleId="68">
    <w:name w:val="Heading 1 Char"/>
    <w:basedOn w:val="51"/>
    <w:link w:val="3"/>
    <w:autoRedefine/>
    <w:qFormat/>
    <w:locked/>
    <w:uiPriority w:val="99"/>
    <w:rPr>
      <w:rFonts w:ascii="Times New Roman" w:hAnsi="Times New Roman" w:eastAsia="仿宋" w:cs="Times New Roman"/>
      <w:b/>
      <w:bCs/>
      <w:kern w:val="44"/>
      <w:sz w:val="44"/>
      <w:szCs w:val="44"/>
      <w:lang w:val="en-US" w:eastAsia="zh-CN"/>
    </w:rPr>
  </w:style>
  <w:style w:type="character" w:customStyle="1" w:styleId="69">
    <w:name w:val="Heading 2 Char"/>
    <w:basedOn w:val="51"/>
    <w:link w:val="4"/>
    <w:autoRedefine/>
    <w:qFormat/>
    <w:locked/>
    <w:uiPriority w:val="99"/>
    <w:rPr>
      <w:rFonts w:ascii="Arial" w:hAnsi="Arial" w:eastAsia="黑体" w:cs="Arial"/>
      <w:b/>
      <w:bCs/>
      <w:kern w:val="2"/>
      <w:sz w:val="32"/>
      <w:szCs w:val="32"/>
      <w:lang w:val="en-US" w:eastAsia="zh-CN"/>
    </w:rPr>
  </w:style>
  <w:style w:type="character" w:customStyle="1" w:styleId="70">
    <w:name w:val="Heading 3 Char"/>
    <w:basedOn w:val="51"/>
    <w:link w:val="5"/>
    <w:autoRedefine/>
    <w:qFormat/>
    <w:locked/>
    <w:uiPriority w:val="99"/>
    <w:rPr>
      <w:rFonts w:eastAsia="宋体" w:cs="Times New Roman"/>
      <w:b/>
      <w:bCs/>
      <w:kern w:val="2"/>
      <w:sz w:val="32"/>
      <w:szCs w:val="32"/>
      <w:lang w:val="en-US" w:eastAsia="zh-CN"/>
    </w:rPr>
  </w:style>
  <w:style w:type="character" w:customStyle="1" w:styleId="71">
    <w:name w:val="Heading 4 Char"/>
    <w:basedOn w:val="51"/>
    <w:link w:val="6"/>
    <w:autoRedefine/>
    <w:qFormat/>
    <w:locked/>
    <w:uiPriority w:val="99"/>
    <w:rPr>
      <w:rFonts w:ascii="Cambria" w:hAnsi="Cambria" w:eastAsia="宋体" w:cs="Cambria"/>
      <w:b/>
      <w:bCs/>
      <w:kern w:val="2"/>
      <w:sz w:val="28"/>
      <w:szCs w:val="28"/>
      <w:lang w:val="en-US" w:eastAsia="zh-CN"/>
    </w:rPr>
  </w:style>
  <w:style w:type="character" w:customStyle="1" w:styleId="72">
    <w:name w:val="Heading 5 Char"/>
    <w:basedOn w:val="51"/>
    <w:link w:val="7"/>
    <w:autoRedefine/>
    <w:qFormat/>
    <w:locked/>
    <w:uiPriority w:val="99"/>
    <w:rPr>
      <w:rFonts w:ascii="Calibri" w:hAnsi="Calibri" w:eastAsia="宋体" w:cs="Calibri"/>
      <w:b/>
      <w:bCs/>
      <w:kern w:val="2"/>
      <w:sz w:val="28"/>
      <w:szCs w:val="28"/>
      <w:lang w:val="en-US" w:eastAsia="zh-CN"/>
    </w:rPr>
  </w:style>
  <w:style w:type="character" w:customStyle="1" w:styleId="73">
    <w:name w:val="Heading 6 Char"/>
    <w:basedOn w:val="51"/>
    <w:link w:val="8"/>
    <w:autoRedefine/>
    <w:qFormat/>
    <w:locked/>
    <w:uiPriority w:val="99"/>
    <w:rPr>
      <w:rFonts w:ascii="Cambria" w:hAnsi="Cambria" w:eastAsia="宋体" w:cs="Cambria"/>
      <w:b/>
      <w:bCs/>
      <w:kern w:val="2"/>
      <w:sz w:val="24"/>
      <w:szCs w:val="24"/>
      <w:lang w:val="en-US" w:eastAsia="zh-CN"/>
    </w:rPr>
  </w:style>
  <w:style w:type="character" w:customStyle="1" w:styleId="74">
    <w:name w:val="Heading 7 Char"/>
    <w:basedOn w:val="51"/>
    <w:link w:val="9"/>
    <w:autoRedefine/>
    <w:qFormat/>
    <w:locked/>
    <w:uiPriority w:val="99"/>
    <w:rPr>
      <w:rFonts w:ascii="Calibri" w:hAnsi="Calibri" w:eastAsia="宋体" w:cs="Calibri"/>
      <w:b/>
      <w:bCs/>
      <w:kern w:val="2"/>
      <w:sz w:val="24"/>
      <w:szCs w:val="24"/>
      <w:lang w:val="en-US" w:eastAsia="zh-CN"/>
    </w:rPr>
  </w:style>
  <w:style w:type="character" w:customStyle="1" w:styleId="75">
    <w:name w:val="Heading 8 Char"/>
    <w:basedOn w:val="51"/>
    <w:link w:val="10"/>
    <w:autoRedefine/>
    <w:qFormat/>
    <w:locked/>
    <w:uiPriority w:val="99"/>
    <w:rPr>
      <w:rFonts w:ascii="Cambria" w:hAnsi="Cambria" w:eastAsia="宋体" w:cs="Cambria"/>
      <w:kern w:val="2"/>
      <w:sz w:val="24"/>
      <w:szCs w:val="24"/>
      <w:lang w:val="en-US" w:eastAsia="zh-CN"/>
    </w:rPr>
  </w:style>
  <w:style w:type="character" w:customStyle="1" w:styleId="76">
    <w:name w:val="Heading 9 Char"/>
    <w:basedOn w:val="51"/>
    <w:link w:val="11"/>
    <w:autoRedefine/>
    <w:qFormat/>
    <w:locked/>
    <w:uiPriority w:val="99"/>
    <w:rPr>
      <w:rFonts w:ascii="Cambria" w:hAnsi="Cambria" w:eastAsia="宋体" w:cs="Cambria"/>
      <w:kern w:val="2"/>
      <w:sz w:val="21"/>
      <w:szCs w:val="21"/>
      <w:lang w:val="en-US" w:eastAsia="zh-CN"/>
    </w:rPr>
  </w:style>
  <w:style w:type="character" w:customStyle="1" w:styleId="77">
    <w:name w:val="Document Map Char"/>
    <w:basedOn w:val="51"/>
    <w:link w:val="15"/>
    <w:autoRedefine/>
    <w:qFormat/>
    <w:locked/>
    <w:uiPriority w:val="99"/>
    <w:rPr>
      <w:rFonts w:cs="Times New Roman"/>
      <w:sz w:val="24"/>
      <w:szCs w:val="24"/>
      <w:shd w:val="clear" w:color="auto" w:fill="000080"/>
    </w:rPr>
  </w:style>
  <w:style w:type="character" w:customStyle="1" w:styleId="78">
    <w:name w:val="Comment Text Char"/>
    <w:basedOn w:val="51"/>
    <w:link w:val="16"/>
    <w:autoRedefine/>
    <w:qFormat/>
    <w:locked/>
    <w:uiPriority w:val="99"/>
    <w:rPr>
      <w:rFonts w:cs="Times New Roman"/>
      <w:kern w:val="2"/>
      <w:sz w:val="22"/>
      <w:szCs w:val="22"/>
    </w:rPr>
  </w:style>
  <w:style w:type="character" w:customStyle="1" w:styleId="79">
    <w:name w:val="Body Text 3 Char"/>
    <w:basedOn w:val="51"/>
    <w:link w:val="17"/>
    <w:autoRedefine/>
    <w:semiHidden/>
    <w:qFormat/>
    <w:locked/>
    <w:uiPriority w:val="99"/>
    <w:rPr>
      <w:rFonts w:cs="Times New Roman"/>
      <w:sz w:val="16"/>
      <w:szCs w:val="16"/>
    </w:rPr>
  </w:style>
  <w:style w:type="character" w:customStyle="1" w:styleId="80">
    <w:name w:val="Body Text Char"/>
    <w:basedOn w:val="51"/>
    <w:link w:val="18"/>
    <w:autoRedefine/>
    <w:qFormat/>
    <w:locked/>
    <w:uiPriority w:val="99"/>
    <w:rPr>
      <w:rFonts w:eastAsia="宋体" w:cs="Times New Roman"/>
      <w:b/>
      <w:bCs/>
      <w:kern w:val="2"/>
      <w:sz w:val="44"/>
      <w:szCs w:val="44"/>
      <w:lang w:val="en-US" w:eastAsia="zh-CN"/>
    </w:rPr>
  </w:style>
  <w:style w:type="character" w:customStyle="1" w:styleId="81">
    <w:name w:val="Body Text Indent Char"/>
    <w:basedOn w:val="51"/>
    <w:link w:val="20"/>
    <w:autoRedefine/>
    <w:semiHidden/>
    <w:qFormat/>
    <w:locked/>
    <w:uiPriority w:val="99"/>
    <w:rPr>
      <w:rFonts w:cs="Times New Roman"/>
      <w:sz w:val="21"/>
      <w:szCs w:val="21"/>
    </w:rPr>
  </w:style>
  <w:style w:type="character" w:customStyle="1" w:styleId="82">
    <w:name w:val="Plain Text Char"/>
    <w:basedOn w:val="51"/>
    <w:link w:val="26"/>
    <w:autoRedefine/>
    <w:semiHidden/>
    <w:qFormat/>
    <w:locked/>
    <w:uiPriority w:val="99"/>
    <w:rPr>
      <w:rFonts w:ascii="宋体" w:hAnsi="Courier New" w:cs="Courier New"/>
      <w:sz w:val="21"/>
      <w:szCs w:val="21"/>
    </w:rPr>
  </w:style>
  <w:style w:type="character" w:customStyle="1" w:styleId="83">
    <w:name w:val="Date Char"/>
    <w:basedOn w:val="51"/>
    <w:link w:val="28"/>
    <w:autoRedefine/>
    <w:qFormat/>
    <w:locked/>
    <w:uiPriority w:val="99"/>
    <w:rPr>
      <w:rFonts w:ascii="仿宋_GB2312" w:eastAsia="仿宋_GB2312" w:cs="仿宋_GB2312"/>
      <w:kern w:val="2"/>
      <w:sz w:val="30"/>
      <w:szCs w:val="30"/>
      <w:lang w:val="en-US" w:eastAsia="zh-CN"/>
    </w:rPr>
  </w:style>
  <w:style w:type="character" w:customStyle="1" w:styleId="84">
    <w:name w:val="Body Text Indent 2 Char"/>
    <w:basedOn w:val="51"/>
    <w:link w:val="29"/>
    <w:autoRedefine/>
    <w:semiHidden/>
    <w:qFormat/>
    <w:locked/>
    <w:uiPriority w:val="99"/>
    <w:rPr>
      <w:rFonts w:cs="Times New Roman"/>
      <w:sz w:val="21"/>
      <w:szCs w:val="21"/>
    </w:rPr>
  </w:style>
  <w:style w:type="character" w:customStyle="1" w:styleId="85">
    <w:name w:val="Balloon Text Char"/>
    <w:basedOn w:val="51"/>
    <w:link w:val="30"/>
    <w:autoRedefine/>
    <w:semiHidden/>
    <w:qFormat/>
    <w:locked/>
    <w:uiPriority w:val="99"/>
    <w:rPr>
      <w:rFonts w:cs="Times New Roman"/>
      <w:sz w:val="2"/>
    </w:rPr>
  </w:style>
  <w:style w:type="character" w:customStyle="1" w:styleId="86">
    <w:name w:val="Footer Char"/>
    <w:basedOn w:val="51"/>
    <w:link w:val="31"/>
    <w:autoRedefine/>
    <w:qFormat/>
    <w:locked/>
    <w:uiPriority w:val="99"/>
    <w:rPr>
      <w:rFonts w:eastAsia="宋体" w:cs="Times New Roman"/>
      <w:kern w:val="2"/>
      <w:sz w:val="18"/>
      <w:szCs w:val="18"/>
      <w:lang w:val="en-US" w:eastAsia="zh-CN"/>
    </w:rPr>
  </w:style>
  <w:style w:type="character" w:customStyle="1" w:styleId="87">
    <w:name w:val="Header Char"/>
    <w:basedOn w:val="51"/>
    <w:link w:val="32"/>
    <w:autoRedefine/>
    <w:qFormat/>
    <w:locked/>
    <w:uiPriority w:val="99"/>
    <w:rPr>
      <w:rFonts w:eastAsia="宋体" w:cs="Times New Roman"/>
      <w:kern w:val="2"/>
      <w:sz w:val="18"/>
      <w:szCs w:val="18"/>
      <w:lang w:val="en-US" w:eastAsia="zh-CN"/>
    </w:rPr>
  </w:style>
  <w:style w:type="character" w:customStyle="1" w:styleId="88">
    <w:name w:val="Subtitle Char"/>
    <w:basedOn w:val="51"/>
    <w:link w:val="35"/>
    <w:autoRedefine/>
    <w:qFormat/>
    <w:locked/>
    <w:uiPriority w:val="99"/>
    <w:rPr>
      <w:rFonts w:ascii="Cambria" w:hAnsi="Cambria" w:cs="Cambria"/>
      <w:b/>
      <w:bCs/>
      <w:kern w:val="28"/>
      <w:sz w:val="32"/>
      <w:szCs w:val="32"/>
    </w:rPr>
  </w:style>
  <w:style w:type="character" w:customStyle="1" w:styleId="89">
    <w:name w:val="Footnote Text Char"/>
    <w:basedOn w:val="51"/>
    <w:link w:val="36"/>
    <w:autoRedefine/>
    <w:semiHidden/>
    <w:qFormat/>
    <w:locked/>
    <w:uiPriority w:val="99"/>
    <w:rPr>
      <w:rFonts w:cs="Times New Roman"/>
      <w:sz w:val="18"/>
      <w:szCs w:val="18"/>
    </w:rPr>
  </w:style>
  <w:style w:type="character" w:customStyle="1" w:styleId="90">
    <w:name w:val="Body Text Indent 3 Char"/>
    <w:basedOn w:val="51"/>
    <w:link w:val="38"/>
    <w:autoRedefine/>
    <w:semiHidden/>
    <w:qFormat/>
    <w:locked/>
    <w:uiPriority w:val="99"/>
    <w:rPr>
      <w:rFonts w:cs="Times New Roman"/>
      <w:sz w:val="16"/>
      <w:szCs w:val="16"/>
    </w:rPr>
  </w:style>
  <w:style w:type="character" w:customStyle="1" w:styleId="91">
    <w:name w:val="Body Text 2 Char"/>
    <w:basedOn w:val="51"/>
    <w:link w:val="42"/>
    <w:autoRedefine/>
    <w:semiHidden/>
    <w:qFormat/>
    <w:locked/>
    <w:uiPriority w:val="99"/>
    <w:rPr>
      <w:rFonts w:cs="Times New Roman"/>
      <w:sz w:val="21"/>
      <w:szCs w:val="21"/>
    </w:rPr>
  </w:style>
  <w:style w:type="character" w:customStyle="1" w:styleId="92">
    <w:name w:val="Title Char"/>
    <w:basedOn w:val="51"/>
    <w:link w:val="45"/>
    <w:autoRedefine/>
    <w:qFormat/>
    <w:locked/>
    <w:uiPriority w:val="99"/>
    <w:rPr>
      <w:rFonts w:ascii="Cambria" w:hAnsi="Cambria" w:cs="Cambria"/>
      <w:b/>
      <w:bCs/>
      <w:kern w:val="2"/>
      <w:sz w:val="32"/>
      <w:szCs w:val="32"/>
    </w:rPr>
  </w:style>
  <w:style w:type="character" w:customStyle="1" w:styleId="93">
    <w:name w:val="Comment Subject Char"/>
    <w:basedOn w:val="78"/>
    <w:link w:val="46"/>
    <w:autoRedefine/>
    <w:qFormat/>
    <w:locked/>
    <w:uiPriority w:val="99"/>
    <w:rPr>
      <w:rFonts w:ascii="宋体" w:cs="宋体"/>
      <w:b/>
      <w:bCs/>
      <w:sz w:val="28"/>
      <w:szCs w:val="28"/>
    </w:rPr>
  </w:style>
  <w:style w:type="character" w:customStyle="1" w:styleId="94">
    <w:name w:val="Body Text First Indent 2 Char"/>
    <w:basedOn w:val="81"/>
    <w:link w:val="48"/>
    <w:autoRedefine/>
    <w:semiHidden/>
    <w:qFormat/>
    <w:locked/>
    <w:uiPriority w:val="99"/>
  </w:style>
  <w:style w:type="character" w:customStyle="1" w:styleId="95">
    <w:name w:val="批注文字 Char Char"/>
    <w:autoRedefine/>
    <w:qFormat/>
    <w:uiPriority w:val="99"/>
    <w:rPr>
      <w:rFonts w:ascii="宋体" w:hAnsi="Times New Roman" w:eastAsia="宋体"/>
      <w:sz w:val="20"/>
    </w:rPr>
  </w:style>
  <w:style w:type="character" w:customStyle="1" w:styleId="96">
    <w:name w:val="标题 1 Char Char"/>
    <w:autoRedefine/>
    <w:qFormat/>
    <w:locked/>
    <w:uiPriority w:val="99"/>
    <w:rPr>
      <w:rFonts w:eastAsia="宋体"/>
      <w:b/>
      <w:kern w:val="44"/>
      <w:sz w:val="44"/>
      <w:lang w:val="en-US" w:eastAsia="zh-CN"/>
    </w:rPr>
  </w:style>
  <w:style w:type="character" w:customStyle="1" w:styleId="97">
    <w:name w:val="Char Char"/>
    <w:autoRedefine/>
    <w:qFormat/>
    <w:uiPriority w:val="99"/>
    <w:rPr>
      <w:rFonts w:ascii="Arial" w:hAnsi="Arial" w:eastAsia="黑体"/>
      <w:b/>
      <w:kern w:val="2"/>
      <w:sz w:val="32"/>
      <w:lang w:val="en-US" w:eastAsia="zh-CN"/>
    </w:rPr>
  </w:style>
  <w:style w:type="character" w:customStyle="1" w:styleId="98">
    <w:name w:val="明显参考1"/>
    <w:autoRedefine/>
    <w:qFormat/>
    <w:uiPriority w:val="99"/>
    <w:rPr>
      <w:b/>
      <w:smallCaps/>
      <w:color w:val="auto"/>
      <w:spacing w:val="5"/>
      <w:u w:val="single"/>
    </w:rPr>
  </w:style>
  <w:style w:type="character" w:customStyle="1" w:styleId="99">
    <w:name w:val="明显强调1"/>
    <w:autoRedefine/>
    <w:qFormat/>
    <w:uiPriority w:val="99"/>
    <w:rPr>
      <w:b/>
      <w:i/>
      <w:color w:val="4F81BD"/>
    </w:rPr>
  </w:style>
  <w:style w:type="character" w:customStyle="1" w:styleId="100">
    <w:name w:val="文档结构图 Char1"/>
    <w:autoRedefine/>
    <w:qFormat/>
    <w:uiPriority w:val="99"/>
    <w:rPr>
      <w:rFonts w:ascii="宋体"/>
      <w:kern w:val="2"/>
      <w:sz w:val="18"/>
    </w:rPr>
  </w:style>
  <w:style w:type="character" w:customStyle="1" w:styleId="101">
    <w:name w:val="日期 Char"/>
    <w:autoRedefine/>
    <w:qFormat/>
    <w:uiPriority w:val="99"/>
    <w:rPr>
      <w:rFonts w:ascii="仿宋_GB2312" w:eastAsia="仿宋_GB2312"/>
      <w:kern w:val="2"/>
      <w:sz w:val="30"/>
      <w:lang w:val="en-US" w:eastAsia="zh-CN"/>
    </w:rPr>
  </w:style>
  <w:style w:type="character" w:customStyle="1" w:styleId="102">
    <w:name w:val="textcontents"/>
    <w:autoRedefine/>
    <w:qFormat/>
    <w:uiPriority w:val="99"/>
  </w:style>
  <w:style w:type="character" w:customStyle="1" w:styleId="103">
    <w:name w:val="引用 Char"/>
    <w:link w:val="104"/>
    <w:autoRedefine/>
    <w:qFormat/>
    <w:locked/>
    <w:uiPriority w:val="99"/>
    <w:rPr>
      <w:i/>
      <w:color w:val="000000"/>
      <w:kern w:val="2"/>
      <w:sz w:val="22"/>
    </w:rPr>
  </w:style>
  <w:style w:type="paragraph" w:customStyle="1" w:styleId="104">
    <w:name w:val="引用1"/>
    <w:basedOn w:val="1"/>
    <w:next w:val="1"/>
    <w:link w:val="103"/>
    <w:autoRedefine/>
    <w:qFormat/>
    <w:uiPriority w:val="99"/>
    <w:rPr>
      <w:i/>
      <w:color w:val="000000"/>
      <w:sz w:val="22"/>
      <w:szCs w:val="20"/>
    </w:rPr>
  </w:style>
  <w:style w:type="character" w:customStyle="1" w:styleId="105">
    <w:name w:val="日期 Char1"/>
    <w:autoRedefine/>
    <w:qFormat/>
    <w:uiPriority w:val="99"/>
    <w:rPr>
      <w:kern w:val="2"/>
      <w:sz w:val="22"/>
    </w:rPr>
  </w:style>
  <w:style w:type="character" w:customStyle="1" w:styleId="106">
    <w:name w:val="不明显参考1"/>
    <w:autoRedefine/>
    <w:qFormat/>
    <w:uiPriority w:val="99"/>
    <w:rPr>
      <w:smallCaps/>
      <w:color w:val="auto"/>
      <w:u w:val="single"/>
    </w:rPr>
  </w:style>
  <w:style w:type="character" w:customStyle="1" w:styleId="107">
    <w:name w:val="批注框文本 Char1"/>
    <w:autoRedefine/>
    <w:qFormat/>
    <w:uiPriority w:val="99"/>
    <w:rPr>
      <w:kern w:val="2"/>
      <w:sz w:val="18"/>
    </w:rPr>
  </w:style>
  <w:style w:type="character" w:customStyle="1" w:styleId="108">
    <w:name w:val="不明显强调1"/>
    <w:autoRedefine/>
    <w:qFormat/>
    <w:uiPriority w:val="99"/>
    <w:rPr>
      <w:i/>
      <w:color w:val="808080"/>
    </w:rPr>
  </w:style>
  <w:style w:type="character" w:customStyle="1" w:styleId="109">
    <w:name w:val="标题4 Char Char"/>
    <w:link w:val="110"/>
    <w:autoRedefine/>
    <w:qFormat/>
    <w:locked/>
    <w:uiPriority w:val="99"/>
    <w:rPr>
      <w:rFonts w:ascii="Arial" w:hAnsi="Arial"/>
      <w:b/>
      <w:sz w:val="32"/>
    </w:rPr>
  </w:style>
  <w:style w:type="paragraph" w:customStyle="1" w:styleId="110">
    <w:name w:val="标题4"/>
    <w:basedOn w:val="4"/>
    <w:next w:val="23"/>
    <w:link w:val="109"/>
    <w:autoRedefine/>
    <w:qFormat/>
    <w:uiPriority w:val="99"/>
    <w:pPr>
      <w:spacing w:line="413" w:lineRule="auto"/>
    </w:pPr>
    <w:rPr>
      <w:rFonts w:eastAsia="宋体" w:cs="Times New Roman"/>
      <w:bCs w:val="0"/>
      <w:kern w:val="0"/>
      <w:szCs w:val="20"/>
    </w:rPr>
  </w:style>
  <w:style w:type="character" w:customStyle="1" w:styleId="111">
    <w:name w:val="书籍标题1"/>
    <w:autoRedefine/>
    <w:qFormat/>
    <w:uiPriority w:val="99"/>
    <w:rPr>
      <w:b/>
      <w:smallCaps/>
      <w:spacing w:val="5"/>
    </w:rPr>
  </w:style>
  <w:style w:type="character" w:customStyle="1" w:styleId="112">
    <w:name w:val="bigfont"/>
    <w:basedOn w:val="51"/>
    <w:autoRedefine/>
    <w:qFormat/>
    <w:uiPriority w:val="99"/>
    <w:rPr>
      <w:rFonts w:cs="Times New Roman"/>
    </w:rPr>
  </w:style>
  <w:style w:type="character" w:customStyle="1" w:styleId="113">
    <w:name w:val="news_title1"/>
    <w:autoRedefine/>
    <w:qFormat/>
    <w:uiPriority w:val="99"/>
    <w:rPr>
      <w:rFonts w:ascii="宋体" w:hAnsi="宋体" w:eastAsia="宋体"/>
      <w:b/>
      <w:color w:val="000000"/>
      <w:sz w:val="36"/>
      <w:u w:val="none"/>
    </w:rPr>
  </w:style>
  <w:style w:type="character" w:customStyle="1" w:styleId="114">
    <w:name w:val="标题5 Char Char"/>
    <w:link w:val="115"/>
    <w:autoRedefine/>
    <w:qFormat/>
    <w:locked/>
    <w:uiPriority w:val="99"/>
    <w:rPr>
      <w:rFonts w:ascii="Arial" w:hAnsi="Arial"/>
      <w:b/>
      <w:sz w:val="32"/>
    </w:rPr>
  </w:style>
  <w:style w:type="paragraph" w:customStyle="1" w:styleId="115">
    <w:name w:val="标题5"/>
    <w:basedOn w:val="5"/>
    <w:link w:val="114"/>
    <w:autoRedefine/>
    <w:qFormat/>
    <w:uiPriority w:val="99"/>
    <w:pPr>
      <w:spacing w:line="413" w:lineRule="auto"/>
    </w:pPr>
    <w:rPr>
      <w:rFonts w:ascii="Arial" w:hAnsi="Arial"/>
      <w:bCs w:val="0"/>
      <w:kern w:val="0"/>
      <w:szCs w:val="20"/>
    </w:rPr>
  </w:style>
  <w:style w:type="character" w:customStyle="1" w:styleId="116">
    <w:name w:val="font161"/>
    <w:autoRedefine/>
    <w:qFormat/>
    <w:uiPriority w:val="99"/>
    <w:rPr>
      <w:b/>
      <w:sz w:val="32"/>
    </w:rPr>
  </w:style>
  <w:style w:type="character" w:customStyle="1" w:styleId="117">
    <w:name w:val="标题 2 Char Char"/>
    <w:autoRedefine/>
    <w:qFormat/>
    <w:locked/>
    <w:uiPriority w:val="99"/>
    <w:rPr>
      <w:rFonts w:ascii="Arial" w:hAnsi="Arial" w:eastAsia="黑体"/>
      <w:b/>
      <w:kern w:val="2"/>
      <w:sz w:val="32"/>
      <w:lang w:val="en-US" w:eastAsia="zh-CN"/>
    </w:rPr>
  </w:style>
  <w:style w:type="character" w:customStyle="1" w:styleId="118">
    <w:name w:val="Char Char1"/>
    <w:autoRedefine/>
    <w:qFormat/>
    <w:uiPriority w:val="99"/>
    <w:rPr>
      <w:rFonts w:ascii="宋体" w:hAnsi="Times New Roman"/>
      <w:sz w:val="28"/>
    </w:rPr>
  </w:style>
  <w:style w:type="character" w:customStyle="1" w:styleId="119">
    <w:name w:val="明显引用 Char"/>
    <w:link w:val="120"/>
    <w:autoRedefine/>
    <w:qFormat/>
    <w:locked/>
    <w:uiPriority w:val="99"/>
    <w:rPr>
      <w:b/>
      <w:i/>
      <w:color w:val="4F81BD"/>
      <w:kern w:val="2"/>
      <w:sz w:val="22"/>
    </w:rPr>
  </w:style>
  <w:style w:type="paragraph" w:customStyle="1" w:styleId="120">
    <w:name w:val="明显引用1"/>
    <w:basedOn w:val="1"/>
    <w:next w:val="1"/>
    <w:link w:val="119"/>
    <w:autoRedefine/>
    <w:qFormat/>
    <w:uiPriority w:val="99"/>
    <w:pPr>
      <w:pBdr>
        <w:bottom w:val="single" w:color="4F81BD" w:sz="4" w:space="4"/>
      </w:pBdr>
      <w:spacing w:before="200" w:after="280"/>
      <w:ind w:left="936" w:right="936"/>
    </w:pPr>
    <w:rPr>
      <w:b/>
      <w:i/>
      <w:color w:val="4F81BD"/>
      <w:sz w:val="22"/>
      <w:szCs w:val="20"/>
    </w:rPr>
  </w:style>
  <w:style w:type="character" w:customStyle="1" w:styleId="121">
    <w:name w:val="批注主题 Char1"/>
    <w:autoRedefine/>
    <w:qFormat/>
    <w:uiPriority w:val="99"/>
    <w:rPr>
      <w:b/>
      <w:kern w:val="2"/>
      <w:sz w:val="22"/>
    </w:rPr>
  </w:style>
  <w:style w:type="character" w:customStyle="1" w:styleId="122">
    <w:name w:val="正文文本 Char1"/>
    <w:autoRedefine/>
    <w:qFormat/>
    <w:uiPriority w:val="99"/>
    <w:rPr>
      <w:kern w:val="2"/>
      <w:sz w:val="22"/>
    </w:rPr>
  </w:style>
  <w:style w:type="paragraph" w:customStyle="1" w:styleId="123">
    <w:name w:val="默认段落字体 Para Char Char Char Char"/>
    <w:basedOn w:val="1"/>
    <w:autoRedefine/>
    <w:qFormat/>
    <w:uiPriority w:val="99"/>
  </w:style>
  <w:style w:type="paragraph" w:customStyle="1" w:styleId="124">
    <w:name w:val="Char Char Char Char Char Char Char Char Char Char Char Char Char"/>
    <w:basedOn w:val="1"/>
    <w:autoRedefine/>
    <w:qFormat/>
    <w:uiPriority w:val="99"/>
  </w:style>
  <w:style w:type="paragraph" w:customStyle="1" w:styleId="125">
    <w:name w:val="样式 标题 3 + (中文) 黑体 小四 非加粗 段前: 7.8 磅 段后: 0 磅 行距: 固定值 20 磅"/>
    <w:basedOn w:val="5"/>
    <w:autoRedefine/>
    <w:qFormat/>
    <w:uiPriority w:val="99"/>
    <w:pPr>
      <w:spacing w:before="0" w:after="0" w:line="400" w:lineRule="exact"/>
    </w:pPr>
    <w:rPr>
      <w:rFonts w:eastAsia="黑体"/>
      <w:b w:val="0"/>
      <w:bCs w:val="0"/>
      <w:sz w:val="24"/>
      <w:szCs w:val="24"/>
    </w:rPr>
  </w:style>
  <w:style w:type="paragraph" w:customStyle="1" w:styleId="126">
    <w:name w:val="表格文字"/>
    <w:basedOn w:val="1"/>
    <w:autoRedefine/>
    <w:qFormat/>
    <w:uiPriority w:val="99"/>
    <w:pPr>
      <w:adjustRightInd w:val="0"/>
      <w:spacing w:line="420" w:lineRule="atLeast"/>
      <w:jc w:val="left"/>
      <w:textAlignment w:val="baseline"/>
    </w:pPr>
    <w:rPr>
      <w:kern w:val="0"/>
    </w:rPr>
  </w:style>
  <w:style w:type="paragraph" w:customStyle="1" w:styleId="127">
    <w:name w:val="修订1"/>
    <w:autoRedefine/>
    <w:qFormat/>
    <w:uiPriority w:val="99"/>
    <w:rPr>
      <w:rFonts w:ascii="Times New Roman" w:hAnsi="Times New Roman" w:eastAsia="宋体" w:cs="Times New Roman"/>
      <w:kern w:val="2"/>
      <w:sz w:val="21"/>
      <w:szCs w:val="21"/>
      <w:lang w:val="en-US" w:eastAsia="zh-CN" w:bidi="ar-SA"/>
    </w:rPr>
  </w:style>
  <w:style w:type="paragraph" w:customStyle="1" w:styleId="128">
    <w:name w:val="Char"/>
    <w:basedOn w:val="1"/>
    <w:next w:val="1"/>
    <w:autoRedefine/>
    <w:qFormat/>
    <w:uiPriority w:val="99"/>
    <w:pPr>
      <w:widowControl/>
      <w:spacing w:line="360" w:lineRule="auto"/>
      <w:jc w:val="left"/>
    </w:pPr>
    <w:rPr>
      <w:kern w:val="0"/>
      <w:lang w:eastAsia="en-US"/>
    </w:rPr>
  </w:style>
  <w:style w:type="paragraph" w:customStyle="1" w:styleId="129">
    <w:name w:val="样式2"/>
    <w:basedOn w:val="5"/>
    <w:autoRedefine/>
    <w:qFormat/>
    <w:uiPriority w:val="99"/>
    <w:pPr>
      <w:spacing w:line="413" w:lineRule="auto"/>
    </w:pPr>
  </w:style>
  <w:style w:type="paragraph" w:customStyle="1" w:styleId="130">
    <w:name w:val="6'"/>
    <w:basedOn w:val="1"/>
    <w:autoRedefine/>
    <w:qFormat/>
    <w:uiPriority w:val="99"/>
    <w:pPr>
      <w:autoSpaceDE w:val="0"/>
      <w:autoSpaceDN w:val="0"/>
      <w:adjustRightInd w:val="0"/>
      <w:snapToGrid w:val="0"/>
      <w:spacing w:line="320" w:lineRule="exact"/>
      <w:jc w:val="center"/>
      <w:textAlignment w:val="baseline"/>
    </w:pPr>
    <w:rPr>
      <w:spacing w:val="20"/>
      <w:kern w:val="28"/>
    </w:rPr>
  </w:style>
  <w:style w:type="paragraph" w:customStyle="1" w:styleId="131">
    <w:name w:val="表格"/>
    <w:basedOn w:val="1"/>
    <w:autoRedefine/>
    <w:qFormat/>
    <w:uiPriority w:val="99"/>
    <w:pPr>
      <w:jc w:val="center"/>
      <w:textAlignment w:val="center"/>
    </w:pPr>
    <w:rPr>
      <w:rFonts w:ascii="华文细黑" w:hAnsi="华文细黑" w:cs="华文细黑"/>
      <w:kern w:val="0"/>
    </w:rPr>
  </w:style>
  <w:style w:type="paragraph" w:customStyle="1" w:styleId="132">
    <w:name w:val="Blockquote"/>
    <w:basedOn w:val="1"/>
    <w:autoRedefine/>
    <w:qFormat/>
    <w:uiPriority w:val="99"/>
    <w:pPr>
      <w:autoSpaceDE w:val="0"/>
      <w:autoSpaceDN w:val="0"/>
      <w:adjustRightInd w:val="0"/>
      <w:spacing w:before="100" w:after="100"/>
      <w:ind w:left="360" w:right="360"/>
      <w:jc w:val="left"/>
    </w:pPr>
    <w:rPr>
      <w:kern w:val="0"/>
      <w:sz w:val="24"/>
      <w:szCs w:val="24"/>
    </w:rPr>
  </w:style>
  <w:style w:type="paragraph" w:customStyle="1" w:styleId="133">
    <w:name w:val="1"/>
    <w:basedOn w:val="1"/>
    <w:next w:val="1"/>
    <w:autoRedefine/>
    <w:qFormat/>
    <w:uiPriority w:val="99"/>
  </w:style>
  <w:style w:type="paragraph" w:customStyle="1" w:styleId="134">
    <w:name w:val="样式1"/>
    <w:basedOn w:val="5"/>
    <w:autoRedefine/>
    <w:qFormat/>
    <w:uiPriority w:val="99"/>
    <w:pPr>
      <w:spacing w:line="413" w:lineRule="auto"/>
    </w:pPr>
  </w:style>
  <w:style w:type="paragraph" w:customStyle="1" w:styleId="135">
    <w:name w:val="flNote"/>
    <w:basedOn w:val="1"/>
    <w:autoRedefine/>
    <w:qFormat/>
    <w:uiPriority w:val="99"/>
    <w:pPr>
      <w:adjustRightInd w:val="0"/>
      <w:spacing w:before="320" w:after="160" w:line="360" w:lineRule="atLeast"/>
      <w:jc w:val="center"/>
      <w:textAlignment w:val="baseline"/>
    </w:pPr>
    <w:rPr>
      <w:rFonts w:ascii="Arial" w:eastAsia="黑体" w:cs="Arial"/>
      <w:kern w:val="0"/>
      <w:sz w:val="30"/>
      <w:szCs w:val="30"/>
    </w:rPr>
  </w:style>
  <w:style w:type="paragraph" w:customStyle="1" w:styleId="136">
    <w:name w:val="无间隔1"/>
    <w:autoRedefine/>
    <w:qFormat/>
    <w:uiPriority w:val="99"/>
    <w:pPr>
      <w:widowControl w:val="0"/>
      <w:jc w:val="both"/>
    </w:pPr>
    <w:rPr>
      <w:rFonts w:ascii="Calibri" w:hAnsi="Calibri" w:eastAsia="宋体" w:cs="Calibri"/>
      <w:kern w:val="2"/>
      <w:sz w:val="21"/>
      <w:szCs w:val="21"/>
      <w:lang w:val="en-US" w:eastAsia="zh-CN" w:bidi="ar-SA"/>
    </w:rPr>
  </w:style>
  <w:style w:type="paragraph" w:customStyle="1" w:styleId="137">
    <w:name w:val="样式4"/>
    <w:basedOn w:val="5"/>
    <w:autoRedefine/>
    <w:qFormat/>
    <w:uiPriority w:val="99"/>
    <w:pPr>
      <w:spacing w:line="413" w:lineRule="auto"/>
    </w:pPr>
  </w:style>
  <w:style w:type="paragraph" w:customStyle="1" w:styleId="138">
    <w:name w:val="TOC 标题1"/>
    <w:basedOn w:val="3"/>
    <w:next w:val="1"/>
    <w:autoRedefine/>
    <w:qFormat/>
    <w:uiPriority w:val="99"/>
    <w:pPr>
      <w:spacing w:line="576" w:lineRule="auto"/>
      <w:outlineLvl w:val="9"/>
    </w:pPr>
    <w:rPr>
      <w:rFonts w:ascii="Calibri" w:hAnsi="Calibri" w:cs="Calibri"/>
    </w:rPr>
  </w:style>
  <w:style w:type="paragraph" w:customStyle="1" w:styleId="139">
    <w:name w:val="样式 标题 1 + 黑体 三号 非加粗 居中 段前: 6 磅 段后: 6 磅 行距: 固定值 20 磅"/>
    <w:basedOn w:val="3"/>
    <w:autoRedefine/>
    <w:qFormat/>
    <w:uiPriority w:val="99"/>
    <w:pPr>
      <w:spacing w:before="120" w:after="120" w:line="400" w:lineRule="exact"/>
    </w:pPr>
    <w:rPr>
      <w:rFonts w:ascii="黑体" w:hAnsi="黑体" w:eastAsia="黑体" w:cs="黑体"/>
      <w:b w:val="0"/>
      <w:bCs w:val="0"/>
      <w:sz w:val="32"/>
      <w:szCs w:val="32"/>
    </w:rPr>
  </w:style>
  <w:style w:type="paragraph" w:customStyle="1" w:styleId="140">
    <w:name w:val="样式 标题 2 + Times New Roman 四号 非加粗 段前: 5 磅 段后: 0 磅 行距: 固定值 20..."/>
    <w:basedOn w:val="4"/>
    <w:autoRedefine/>
    <w:qFormat/>
    <w:uiPriority w:val="99"/>
    <w:pPr>
      <w:spacing w:before="100" w:after="0" w:line="400" w:lineRule="exact"/>
    </w:pPr>
    <w:rPr>
      <w:rFonts w:ascii="Times New Roman" w:hAnsi="Times New Roman" w:cs="Times New Roman"/>
      <w:b w:val="0"/>
      <w:bCs w:val="0"/>
      <w:kern w:val="0"/>
      <w:sz w:val="28"/>
      <w:szCs w:val="28"/>
    </w:rPr>
  </w:style>
  <w:style w:type="paragraph" w:customStyle="1" w:styleId="141">
    <w:name w:val="Char Char Char Char Char Char Char Char Char Char Char Char Char1"/>
    <w:basedOn w:val="15"/>
    <w:autoRedefine/>
    <w:qFormat/>
    <w:uiPriority w:val="99"/>
    <w:rPr>
      <w:rFonts w:ascii="Tahoma" w:hAnsi="Tahoma" w:cs="Tahoma"/>
      <w:sz w:val="24"/>
      <w:szCs w:val="24"/>
      <w:shd w:val="clear" w:color="auto" w:fill="auto"/>
    </w:rPr>
  </w:style>
  <w:style w:type="paragraph" w:customStyle="1" w:styleId="142">
    <w:name w:val="Char1"/>
    <w:basedOn w:val="1"/>
    <w:autoRedefine/>
    <w:qFormat/>
    <w:uiPriority w:val="99"/>
    <w:rPr>
      <w:rFonts w:ascii="Tahoma" w:hAnsi="Tahoma" w:cs="Tahoma"/>
      <w:sz w:val="24"/>
      <w:szCs w:val="24"/>
    </w:rPr>
  </w:style>
  <w:style w:type="paragraph" w:customStyle="1" w:styleId="143">
    <w:name w:val="空半行"/>
    <w:basedOn w:val="1"/>
    <w:autoRedefine/>
    <w:qFormat/>
    <w:uiPriority w:val="99"/>
    <w:pPr>
      <w:adjustRightInd w:val="0"/>
      <w:spacing w:line="120" w:lineRule="exact"/>
      <w:textAlignment w:val="baseline"/>
    </w:pPr>
    <w:rPr>
      <w:rFonts w:eastAsia="仿宋_GB2312"/>
      <w:color w:val="FFFFFF"/>
      <w:kern w:val="0"/>
      <w:sz w:val="30"/>
      <w:szCs w:val="30"/>
    </w:rPr>
  </w:style>
  <w:style w:type="paragraph" w:customStyle="1" w:styleId="144">
    <w:name w:val="样式3"/>
    <w:basedOn w:val="5"/>
    <w:autoRedefine/>
    <w:qFormat/>
    <w:uiPriority w:val="99"/>
    <w:pPr>
      <w:spacing w:line="413" w:lineRule="auto"/>
    </w:pPr>
  </w:style>
  <w:style w:type="paragraph" w:customStyle="1" w:styleId="145">
    <w:name w:val="正文1"/>
    <w:autoRedefine/>
    <w:qFormat/>
    <w:uiPriority w:val="99"/>
    <w:pPr>
      <w:widowControl w:val="0"/>
      <w:adjustRightInd w:val="0"/>
      <w:spacing w:line="312" w:lineRule="atLeast"/>
      <w:jc w:val="both"/>
      <w:textAlignment w:val="baseline"/>
    </w:pPr>
    <w:rPr>
      <w:rFonts w:ascii="宋体" w:hAnsi="Times New Roman" w:eastAsia="宋体" w:cs="宋体"/>
      <w:kern w:val="0"/>
      <w:sz w:val="24"/>
      <w:szCs w:val="24"/>
      <w:lang w:val="en-US" w:eastAsia="zh-CN" w:bidi="ar-SA"/>
    </w:rPr>
  </w:style>
  <w:style w:type="paragraph" w:customStyle="1" w:styleId="146">
    <w:name w:val="列出段落2"/>
    <w:basedOn w:val="1"/>
    <w:autoRedefine/>
    <w:qFormat/>
    <w:uiPriority w:val="99"/>
    <w:pPr>
      <w:ind w:firstLine="200" w:firstLineChars="200"/>
    </w:pPr>
  </w:style>
  <w:style w:type="paragraph" w:customStyle="1" w:styleId="147">
    <w:name w:val="p0"/>
    <w:basedOn w:val="1"/>
    <w:autoRedefine/>
    <w:qFormat/>
    <w:uiPriority w:val="99"/>
    <w:pPr>
      <w:widowControl/>
    </w:pPr>
    <w:rPr>
      <w:kern w:val="0"/>
    </w:rPr>
  </w:style>
  <w:style w:type="paragraph" w:customStyle="1" w:styleId="148">
    <w:name w:val="节标题"/>
    <w:basedOn w:val="1"/>
    <w:next w:val="1"/>
    <w:autoRedefine/>
    <w:qFormat/>
    <w:uiPriority w:val="99"/>
    <w:pPr>
      <w:widowControl/>
      <w:spacing w:line="289" w:lineRule="atLeast"/>
      <w:jc w:val="center"/>
      <w:textAlignment w:val="baseline"/>
    </w:pPr>
    <w:rPr>
      <w:color w:val="000000"/>
      <w:kern w:val="0"/>
      <w:sz w:val="28"/>
      <w:szCs w:val="20"/>
    </w:rPr>
  </w:style>
  <w:style w:type="paragraph" w:customStyle="1" w:styleId="149">
    <w:name w:val="WPSOffice手动目录 1"/>
    <w:autoRedefine/>
    <w:qFormat/>
    <w:uiPriority w:val="99"/>
    <w:rPr>
      <w:rFonts w:ascii="Times New Roman" w:hAnsi="Times New Roman" w:eastAsia="宋体" w:cs="Times New Roman"/>
      <w:kern w:val="0"/>
      <w:sz w:val="20"/>
      <w:szCs w:val="20"/>
      <w:lang w:val="en-US" w:eastAsia="zh-CN" w:bidi="ar-SA"/>
    </w:rPr>
  </w:style>
  <w:style w:type="paragraph" w:customStyle="1" w:styleId="150">
    <w:name w:val="WPSOffice手动目录 2"/>
    <w:autoRedefine/>
    <w:qFormat/>
    <w:uiPriority w:val="99"/>
    <w:pPr>
      <w:ind w:left="200" w:leftChars="200"/>
    </w:pPr>
    <w:rPr>
      <w:rFonts w:ascii="Times New Roman" w:hAnsi="Times New Roman" w:eastAsia="宋体" w:cs="Times New Roman"/>
      <w:kern w:val="0"/>
      <w:sz w:val="20"/>
      <w:szCs w:val="20"/>
      <w:lang w:val="en-US" w:eastAsia="zh-CN" w:bidi="ar-SA"/>
    </w:rPr>
  </w:style>
  <w:style w:type="paragraph" w:customStyle="1" w:styleId="151">
    <w:name w:val="WPSOffice手动目录 3"/>
    <w:autoRedefine/>
    <w:qFormat/>
    <w:uiPriority w:val="99"/>
    <w:pPr>
      <w:ind w:left="400" w:leftChars="400"/>
    </w:pPr>
    <w:rPr>
      <w:rFonts w:ascii="Times New Roman" w:hAnsi="Times New Roman" w:eastAsia="宋体" w:cs="Times New Roman"/>
      <w:kern w:val="0"/>
      <w:sz w:val="20"/>
      <w:szCs w:val="20"/>
      <w:lang w:val="en-US" w:eastAsia="zh-CN" w:bidi="ar-SA"/>
    </w:rPr>
  </w:style>
  <w:style w:type="character" w:customStyle="1" w:styleId="152">
    <w:name w:val="font12"/>
    <w:basedOn w:val="51"/>
    <w:autoRedefine/>
    <w:qFormat/>
    <w:uiPriority w:val="0"/>
    <w:rPr>
      <w:rFonts w:hint="eastAsia" w:ascii="仿宋" w:hAnsi="仿宋" w:eastAsia="仿宋" w:cs="仿宋"/>
      <w:b/>
      <w:color w:val="000000"/>
      <w:sz w:val="32"/>
      <w:szCs w:val="32"/>
      <w:u w:val="none"/>
    </w:rPr>
  </w:style>
  <w:style w:type="paragraph" w:customStyle="1" w:styleId="153">
    <w:name w:val="Char1 Char Char Char"/>
    <w:basedOn w:val="1"/>
    <w:autoRedefine/>
    <w:qFormat/>
    <w:uiPriority w:val="0"/>
    <w:pPr>
      <w:widowControl/>
      <w:spacing w:after="160" w:line="240" w:lineRule="exact"/>
      <w:jc w:val="left"/>
    </w:pPr>
    <w:rPr>
      <w:rFonts w:ascii="Verdana" w:hAnsi="Verdana"/>
      <w:kern w:val="0"/>
      <w:sz w:val="30"/>
      <w:szCs w:val="30"/>
      <w:lang w:eastAsia="en-US"/>
    </w:rPr>
  </w:style>
  <w:style w:type="character" w:customStyle="1" w:styleId="154">
    <w:name w:val="font101"/>
    <w:basedOn w:val="51"/>
    <w:autoRedefine/>
    <w:qFormat/>
    <w:uiPriority w:val="0"/>
    <w:rPr>
      <w:rFonts w:hint="default" w:ascii="Times New Roman" w:hAnsi="Times New Roman" w:cs="Times New Roman"/>
      <w:color w:val="000000"/>
      <w:sz w:val="24"/>
      <w:szCs w:val="24"/>
      <w:u w:val="none"/>
    </w:rPr>
  </w:style>
  <w:style w:type="character" w:customStyle="1" w:styleId="155">
    <w:name w:val="font111"/>
    <w:basedOn w:val="51"/>
    <w:autoRedefine/>
    <w:qFormat/>
    <w:uiPriority w:val="0"/>
    <w:rPr>
      <w:rFonts w:ascii="仿宋_GB2312" w:eastAsia="仿宋_GB2312" w:cs="仿宋_GB2312"/>
      <w:color w:val="000000"/>
      <w:sz w:val="24"/>
      <w:szCs w:val="24"/>
      <w:u w:val="none"/>
    </w:rPr>
  </w:style>
  <w:style w:type="character" w:customStyle="1" w:styleId="156">
    <w:name w:val="font91"/>
    <w:basedOn w:val="51"/>
    <w:autoRedefine/>
    <w:qFormat/>
    <w:uiPriority w:val="0"/>
    <w:rPr>
      <w:rFonts w:hint="eastAsia" w:ascii="仿宋" w:hAnsi="仿宋" w:eastAsia="仿宋" w:cs="仿宋"/>
      <w:color w:val="000000"/>
      <w:sz w:val="24"/>
      <w:szCs w:val="24"/>
      <w:u w:val="single"/>
    </w:rPr>
  </w:style>
  <w:style w:type="character" w:customStyle="1" w:styleId="157">
    <w:name w:val="font81"/>
    <w:basedOn w:val="51"/>
    <w:autoRedefine/>
    <w:qFormat/>
    <w:uiPriority w:val="0"/>
    <w:rPr>
      <w:rFonts w:hint="eastAsia" w:ascii="仿宋" w:hAnsi="仿宋" w:eastAsia="仿宋" w:cs="仿宋"/>
      <w:color w:val="000000"/>
      <w:sz w:val="24"/>
      <w:szCs w:val="24"/>
      <w:u w:val="none"/>
    </w:rPr>
  </w:style>
  <w:style w:type="paragraph" w:customStyle="1" w:styleId="158">
    <w:name w:val="Table Paragraph"/>
    <w:basedOn w:val="1"/>
    <w:autoRedefine/>
    <w:qFormat/>
    <w:uiPriority w:val="1"/>
    <w:pPr>
      <w:autoSpaceDE w:val="0"/>
      <w:autoSpaceDN w:val="0"/>
      <w:jc w:val="left"/>
    </w:pPr>
    <w:rPr>
      <w:rFonts w:ascii="宋体" w:hAnsi="宋体" w:cs="宋体"/>
      <w:kern w:val="0"/>
      <w:sz w:val="22"/>
      <w:szCs w:val="22"/>
    </w:rPr>
  </w:style>
  <w:style w:type="character" w:customStyle="1" w:styleId="159">
    <w:name w:val="font21"/>
    <w:basedOn w:val="51"/>
    <w:autoRedefine/>
    <w:qFormat/>
    <w:uiPriority w:val="0"/>
    <w:rPr>
      <w:rFonts w:ascii="宋体" w:hAnsi="宋体" w:eastAsia="宋体" w:cs="宋体"/>
      <w:b/>
      <w:bCs/>
      <w:color w:val="000000"/>
      <w:sz w:val="18"/>
      <w:szCs w:val="18"/>
      <w:u w:val="none"/>
    </w:rPr>
  </w:style>
  <w:style w:type="character" w:customStyle="1" w:styleId="160">
    <w:name w:val="font31"/>
    <w:basedOn w:val="51"/>
    <w:autoRedefine/>
    <w:qFormat/>
    <w:uiPriority w:val="0"/>
    <w:rPr>
      <w:rFonts w:ascii="宋体" w:hAnsi="宋体" w:eastAsia="宋体" w:cs="宋体"/>
      <w:color w:val="000000"/>
      <w:sz w:val="18"/>
      <w:szCs w:val="18"/>
      <w:u w:val="none"/>
    </w:rPr>
  </w:style>
  <w:style w:type="character" w:customStyle="1" w:styleId="161">
    <w:name w:val="font41"/>
    <w:basedOn w:val="51"/>
    <w:autoRedefine/>
    <w:qFormat/>
    <w:uiPriority w:val="0"/>
    <w:rPr>
      <w:rFonts w:ascii="宋体" w:hAnsi="宋体" w:eastAsia="宋体" w:cs="宋体"/>
      <w:color w:val="000000"/>
      <w:sz w:val="16"/>
      <w:szCs w:val="16"/>
      <w:u w:val="none"/>
    </w:rPr>
  </w:style>
  <w:style w:type="paragraph" w:customStyle="1" w:styleId="162">
    <w:name w:val="正文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3">
    <w:name w:val="Table Text"/>
    <w:basedOn w:val="1"/>
    <w:semiHidden/>
    <w:qFormat/>
    <w:uiPriority w:val="0"/>
    <w:rPr>
      <w:rFonts w:ascii="宋体" w:hAnsi="宋体" w:eastAsia="宋体" w:cs="宋体"/>
      <w:sz w:val="26"/>
      <w:szCs w:val="26"/>
      <w:lang w:val="en-US" w:eastAsia="en-US" w:bidi="ar-SA"/>
    </w:rPr>
  </w:style>
  <w:style w:type="character" w:customStyle="1" w:styleId="164">
    <w:name w:val="font11"/>
    <w:basedOn w:val="51"/>
    <w:qFormat/>
    <w:uiPriority w:val="0"/>
    <w:rPr>
      <w:rFonts w:ascii="黑体" w:hAnsi="宋体" w:eastAsia="黑体" w:cs="黑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43</Pages>
  <Words>8931</Words>
  <Characters>9943</Characters>
  <Lines>0</Lines>
  <Paragraphs>0</Paragraphs>
  <TotalTime>4</TotalTime>
  <ScaleCrop>false</ScaleCrop>
  <LinksUpToDate>false</LinksUpToDate>
  <CharactersWithSpaces>10180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2017-05-18T08:09:00Z</dcterms:created>
  <dc:creator>微软用户</dc:creator>
  <cp:lastModifiedBy>Pim Pom丶</cp:lastModifiedBy>
  <cp:lastPrinted>2022-05-12T10:33:00Z</cp:lastPrinted>
  <dcterms:modified xsi:type="dcterms:W3CDTF">2025-02-26T02:10:25Z</dcterms:modified>
  <dc:title>创业园小区9#楼工程施工</dc:title>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4F403931894E437F80EF16419C10C226</vt:lpwstr>
  </property>
  <property fmtid="{D5CDD505-2E9C-101B-9397-08002B2CF9AE}" pid="4" name="KSOTemplateDocerSaveRecord">
    <vt:lpwstr>eyJoZGlkIjoiOTk1OGJkZDZlMmJiZjgxZThhZWQ4YzE0YWIxYTUyMmQiLCJ1c2VySWQiOiI0MDkyMjI1MTkifQ==</vt:lpwstr>
  </property>
</Properties>
</file>