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color w:val="auto"/>
          <w:kern w:val="0"/>
          <w:sz w:val="44"/>
          <w:szCs w:val="44"/>
          <w:highlight w:val="none"/>
        </w:rPr>
      </w:pPr>
      <w:bookmarkStart w:id="0" w:name="_Toc247085669"/>
      <w:bookmarkStart w:id="1" w:name="_Toc461631222"/>
      <w:bookmarkStart w:id="2" w:name="_Toc324404811"/>
      <w:bookmarkStart w:id="3" w:name="_Toc15058843"/>
      <w:bookmarkStart w:id="4" w:name="_Toc506107265"/>
      <w:bookmarkStart w:id="5" w:name="_Toc246996898"/>
      <w:bookmarkStart w:id="6" w:name="_Toc296602400"/>
      <w:bookmarkStart w:id="7" w:name="OLE_LINK4"/>
      <w:bookmarkStart w:id="8" w:name="OLE_LINK3"/>
      <w:bookmarkStart w:id="9" w:name="OLE_LINK1"/>
      <w:bookmarkStart w:id="10" w:name="OLE_LINK2"/>
      <w:bookmarkStart w:id="11" w:name="OLE_LINK5"/>
    </w:p>
    <w:p>
      <w:pPr>
        <w:pStyle w:val="2"/>
        <w:ind w:firstLine="420"/>
        <w:rPr>
          <w:color w:val="auto"/>
          <w:highlight w:val="none"/>
        </w:rPr>
      </w:pPr>
    </w:p>
    <w:p>
      <w:pPr>
        <w:pStyle w:val="2"/>
        <w:ind w:left="0" w:leftChars="0" w:firstLine="0" w:firstLineChars="0"/>
        <w:jc w:val="both"/>
        <w:rPr>
          <w:color w:val="auto"/>
          <w:sz w:val="22"/>
          <w:szCs w:val="21"/>
          <w:highlight w:val="none"/>
        </w:rPr>
      </w:pPr>
      <w:r>
        <w:rPr>
          <w:rFonts w:hint="eastAsia" w:hAnsi="宋体" w:cs="宋体"/>
          <w:b/>
          <w:color w:val="auto"/>
          <w:kern w:val="0"/>
          <w:sz w:val="56"/>
          <w:szCs w:val="56"/>
          <w:highlight w:val="none"/>
          <w:lang w:eastAsia="zh-CN"/>
        </w:rPr>
        <w:t>安徽扬子投资发展有限公司扬子现代产业园屋面钢结构防火涂料施工项目</w:t>
      </w:r>
    </w:p>
    <w:p>
      <w:pPr>
        <w:jc w:val="center"/>
        <w:rPr>
          <w:rFonts w:ascii="宋体" w:hAnsi="宋体"/>
          <w:color w:val="auto"/>
          <w:sz w:val="96"/>
          <w:szCs w:val="96"/>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jc w:val="center"/>
        <w:rPr>
          <w:color w:val="auto"/>
          <w:sz w:val="28"/>
          <w:szCs w:val="28"/>
          <w:highlight w:val="none"/>
        </w:rPr>
      </w:pPr>
      <w:r>
        <w:rPr>
          <w:rFonts w:hint="eastAsia" w:ascii="宋体" w:hAnsi="宋体"/>
          <w:b/>
          <w:bCs/>
          <w:color w:val="auto"/>
          <w:sz w:val="96"/>
          <w:szCs w:val="96"/>
          <w:highlight w:val="none"/>
        </w:rPr>
        <w:t>招</w:t>
      </w:r>
      <w:r>
        <w:rPr>
          <w:rFonts w:hint="eastAsia" w:ascii="宋体" w:hAnsi="宋体"/>
          <w:b/>
          <w:bCs/>
          <w:color w:val="auto"/>
          <w:sz w:val="96"/>
          <w:szCs w:val="96"/>
          <w:highlight w:val="none"/>
          <w:lang w:val="en-US" w:eastAsia="zh-CN"/>
        </w:rPr>
        <w:t xml:space="preserve"> </w:t>
      </w:r>
      <w:r>
        <w:rPr>
          <w:rFonts w:hint="eastAsia" w:ascii="宋体"/>
          <w:b/>
          <w:bCs/>
          <w:color w:val="auto"/>
          <w:sz w:val="96"/>
          <w:szCs w:val="96"/>
          <w:highlight w:val="none"/>
        </w:rPr>
        <w:t>标</w:t>
      </w:r>
      <w:r>
        <w:rPr>
          <w:rFonts w:hint="eastAsia" w:ascii="宋体"/>
          <w:b/>
          <w:bCs/>
          <w:color w:val="auto"/>
          <w:sz w:val="96"/>
          <w:szCs w:val="96"/>
          <w:highlight w:val="none"/>
          <w:lang w:val="en-US" w:eastAsia="zh-CN"/>
        </w:rPr>
        <w:t xml:space="preserve"> </w:t>
      </w:r>
      <w:r>
        <w:rPr>
          <w:rFonts w:hint="eastAsia" w:ascii="宋体" w:hAnsi="宋体"/>
          <w:b/>
          <w:bCs/>
          <w:color w:val="auto"/>
          <w:sz w:val="96"/>
          <w:szCs w:val="96"/>
          <w:highlight w:val="none"/>
        </w:rPr>
        <w:t>文</w:t>
      </w:r>
      <w:r>
        <w:rPr>
          <w:rFonts w:hint="eastAsia" w:ascii="宋体" w:hAnsi="宋体"/>
          <w:b/>
          <w:bCs/>
          <w:color w:val="auto"/>
          <w:sz w:val="96"/>
          <w:szCs w:val="96"/>
          <w:highlight w:val="none"/>
          <w:lang w:val="en-US" w:eastAsia="zh-CN"/>
        </w:rPr>
        <w:t xml:space="preserve"> </w:t>
      </w:r>
      <w:r>
        <w:rPr>
          <w:rFonts w:hint="eastAsia" w:ascii="宋体" w:hAnsi="宋体"/>
          <w:b/>
          <w:bCs/>
          <w:color w:val="auto"/>
          <w:sz w:val="96"/>
          <w:szCs w:val="96"/>
          <w:highlight w:val="none"/>
        </w:rPr>
        <w:t>件</w:t>
      </w:r>
    </w:p>
    <w:p>
      <w:pPr>
        <w:spacing w:line="400" w:lineRule="exact"/>
        <w:jc w:val="center"/>
        <w:rPr>
          <w:rFonts w:ascii="宋体" w:hAnsi="宋体"/>
          <w:b/>
          <w:color w:val="auto"/>
          <w:sz w:val="39"/>
          <w:highlight w:val="none"/>
        </w:rPr>
      </w:pPr>
    </w:p>
    <w:p>
      <w:pPr>
        <w:spacing w:line="400" w:lineRule="exact"/>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pStyle w:val="2"/>
        <w:ind w:left="0" w:leftChars="0" w:firstLine="0" w:firstLineChars="0"/>
        <w:rPr>
          <w:color w:val="auto"/>
          <w:highlight w:val="none"/>
        </w:rPr>
      </w:pPr>
    </w:p>
    <w:p>
      <w:pPr>
        <w:spacing w:line="720" w:lineRule="exact"/>
        <w:rPr>
          <w:b/>
          <w:bCs/>
          <w:color w:val="auto"/>
          <w:sz w:val="28"/>
          <w:szCs w:val="28"/>
          <w:highlight w:val="none"/>
        </w:rPr>
      </w:pPr>
    </w:p>
    <w:p>
      <w:pPr>
        <w:spacing w:line="800" w:lineRule="exact"/>
        <w:ind w:firstLine="600" w:firstLineChars="200"/>
        <w:rPr>
          <w:rFonts w:hint="default" w:ascii="宋体" w:hAnsi="Times New Roman" w:eastAsia="宋体" w:cs="Times New Roman"/>
          <w:color w:val="auto"/>
          <w:sz w:val="30"/>
          <w:szCs w:val="30"/>
          <w:highlight w:val="none"/>
          <w:u w:val="single"/>
          <w:lang w:val="en-US" w:eastAsia="zh-CN"/>
        </w:rPr>
      </w:pPr>
      <w:r>
        <w:rPr>
          <w:rFonts w:hint="eastAsia"/>
          <w:bCs/>
          <w:color w:val="auto"/>
          <w:sz w:val="30"/>
          <w:szCs w:val="30"/>
          <w:highlight w:val="none"/>
        </w:rPr>
        <w:t>招</w:t>
      </w:r>
      <w:r>
        <w:rPr>
          <w:rFonts w:hint="eastAsia"/>
          <w:bCs/>
          <w:color w:val="auto"/>
          <w:sz w:val="30"/>
          <w:szCs w:val="30"/>
          <w:highlight w:val="none"/>
          <w:lang w:val="en-US" w:eastAsia="zh-CN"/>
        </w:rPr>
        <w:t xml:space="preserve">  </w:t>
      </w:r>
      <w:r>
        <w:rPr>
          <w:rFonts w:hint="eastAsia"/>
          <w:bCs/>
          <w:color w:val="auto"/>
          <w:sz w:val="30"/>
          <w:szCs w:val="30"/>
          <w:highlight w:val="none"/>
        </w:rPr>
        <w:t>标</w:t>
      </w:r>
      <w:r>
        <w:rPr>
          <w:rFonts w:hint="eastAsia"/>
          <w:bCs/>
          <w:color w:val="auto"/>
          <w:sz w:val="30"/>
          <w:szCs w:val="30"/>
          <w:highlight w:val="none"/>
          <w:lang w:val="en-US" w:eastAsia="zh-CN"/>
        </w:rPr>
        <w:t xml:space="preserve">  人</w:t>
      </w:r>
      <w:r>
        <w:rPr>
          <w:rFonts w:hint="eastAsia"/>
          <w:bCs/>
          <w:color w:val="auto"/>
          <w:sz w:val="30"/>
          <w:szCs w:val="30"/>
          <w:highlight w:val="none"/>
        </w:rPr>
        <w:t>：</w:t>
      </w:r>
      <w:r>
        <w:rPr>
          <w:rFonts w:hint="eastAsia"/>
          <w:bCs/>
          <w:color w:val="auto"/>
          <w:sz w:val="30"/>
          <w:szCs w:val="30"/>
          <w:highlight w:val="none"/>
          <w:u w:val="single"/>
          <w:lang w:val="en-US" w:eastAsia="zh-CN"/>
        </w:rPr>
        <w:t xml:space="preserve">    </w:t>
      </w:r>
      <w:r>
        <w:rPr>
          <w:rFonts w:hint="eastAsia" w:ascii="宋体" w:cs="Times New Roman"/>
          <w:color w:val="auto"/>
          <w:sz w:val="30"/>
          <w:szCs w:val="30"/>
          <w:highlight w:val="none"/>
          <w:u w:val="single"/>
          <w:lang w:eastAsia="zh-CN"/>
        </w:rPr>
        <w:t>安徽扬子投资发展有限公司</w:t>
      </w:r>
      <w:r>
        <w:rPr>
          <w:rFonts w:hint="eastAsia" w:ascii="宋体" w:cs="Times New Roman"/>
          <w:color w:val="auto"/>
          <w:sz w:val="30"/>
          <w:szCs w:val="30"/>
          <w:highlight w:val="none"/>
          <w:u w:val="single"/>
          <w:lang w:val="en-US" w:eastAsia="zh-CN"/>
        </w:rPr>
        <w:t xml:space="preserve">  </w:t>
      </w:r>
    </w:p>
    <w:p>
      <w:pPr>
        <w:spacing w:line="800" w:lineRule="exact"/>
        <w:ind w:firstLine="600" w:firstLineChars="200"/>
        <w:rPr>
          <w:bCs/>
          <w:color w:val="auto"/>
          <w:spacing w:val="-20"/>
          <w:sz w:val="30"/>
          <w:szCs w:val="30"/>
          <w:highlight w:val="none"/>
          <w:u w:val="thick"/>
        </w:rPr>
      </w:pPr>
      <w:r>
        <w:rPr>
          <w:rFonts w:hint="eastAsia"/>
          <w:bCs/>
          <w:color w:val="auto"/>
          <w:sz w:val="30"/>
          <w:szCs w:val="30"/>
          <w:highlight w:val="none"/>
        </w:rPr>
        <w:t>招标代理机构：</w:t>
      </w:r>
      <w:r>
        <w:rPr>
          <w:rFonts w:hint="eastAsia" w:ascii="宋体"/>
          <w:color w:val="auto"/>
          <w:sz w:val="30"/>
          <w:szCs w:val="30"/>
          <w:highlight w:val="none"/>
          <w:u w:val="single"/>
        </w:rPr>
        <w:t>滁州市城投工程咨询管理有限公司</w:t>
      </w:r>
    </w:p>
    <w:p>
      <w:pPr>
        <w:spacing w:line="720" w:lineRule="exact"/>
        <w:jc w:val="center"/>
        <w:rPr>
          <w:rFonts w:hint="eastAsia" w:ascii="黑体" w:eastAsia="黑体"/>
          <w:b/>
          <w:color w:val="auto"/>
          <w:sz w:val="32"/>
          <w:szCs w:val="32"/>
          <w:highlight w:val="none"/>
          <w:lang w:eastAsia="zh-CN"/>
        </w:rPr>
      </w:pPr>
      <w:r>
        <w:rPr>
          <w:rFonts w:hint="eastAsia" w:ascii="宋体" w:hAnsi="宋体" w:eastAsia="黑体"/>
          <w:color w:val="auto"/>
          <w:sz w:val="30"/>
          <w:szCs w:val="30"/>
          <w:highlight w:val="none"/>
          <w:u w:val="single"/>
          <w:lang w:eastAsia="zh-CN"/>
        </w:rPr>
        <w:t>2025年8月</w:t>
      </w:r>
    </w:p>
    <w:p>
      <w:pPr>
        <w:jc w:val="center"/>
        <w:rPr>
          <w:color w:val="auto"/>
          <w:sz w:val="44"/>
          <w:szCs w:val="44"/>
          <w:highlight w:val="none"/>
        </w:rPr>
        <w:sectPr>
          <w:headerReference r:id="rId3" w:type="default"/>
          <w:footerReference r:id="rId4" w:type="default"/>
          <w:pgSz w:w="11906" w:h="16838"/>
          <w:pgMar w:top="1134" w:right="1417" w:bottom="1134" w:left="1417" w:header="851" w:footer="992" w:gutter="0"/>
          <w:cols w:space="720" w:num="1"/>
          <w:docGrid w:type="lines" w:linePitch="312" w:charSpace="0"/>
        </w:sectPr>
      </w:pPr>
    </w:p>
    <w:p>
      <w:pPr>
        <w:spacing w:line="700" w:lineRule="exact"/>
        <w:jc w:val="center"/>
        <w:rPr>
          <w:rFonts w:hint="eastAsia"/>
          <w:color w:val="auto"/>
          <w:sz w:val="44"/>
          <w:szCs w:val="44"/>
          <w:highlight w:val="none"/>
        </w:rPr>
      </w:pPr>
    </w:p>
    <w:p>
      <w:pPr>
        <w:spacing w:line="700" w:lineRule="exact"/>
        <w:jc w:val="center"/>
        <w:rPr>
          <w:color w:val="auto"/>
          <w:sz w:val="44"/>
          <w:szCs w:val="44"/>
          <w:highlight w:val="none"/>
        </w:rPr>
      </w:pPr>
      <w:r>
        <w:rPr>
          <w:rFonts w:hint="eastAsia"/>
          <w:color w:val="auto"/>
          <w:sz w:val="44"/>
          <w:szCs w:val="44"/>
          <w:highlight w:val="none"/>
        </w:rPr>
        <w:t>目   录</w:t>
      </w:r>
      <w:bookmarkEnd w:id="0"/>
      <w:bookmarkEnd w:id="1"/>
      <w:bookmarkEnd w:id="2"/>
      <w:bookmarkEnd w:id="3"/>
      <w:bookmarkEnd w:id="4"/>
      <w:bookmarkEnd w:id="5"/>
      <w:bookmarkEnd w:id="6"/>
      <w:bookmarkStart w:id="12" w:name="_Toc144974479"/>
      <w:bookmarkStart w:id="13" w:name="_Toc179632527"/>
      <w:bookmarkStart w:id="14" w:name="_Toc152042287"/>
      <w:bookmarkStart w:id="15" w:name="_Toc152045511"/>
    </w:p>
    <w:p>
      <w:pPr>
        <w:pStyle w:val="31"/>
        <w:tabs>
          <w:tab w:val="right" w:leader="dot" w:pos="10120"/>
        </w:tabs>
        <w:rPr>
          <w:rFonts w:ascii="Calibri" w:hAnsi="Calibri"/>
          <w:b w:val="0"/>
          <w:bCs w:val="0"/>
          <w:caps w:val="0"/>
          <w:color w:val="auto"/>
          <w:sz w:val="32"/>
          <w:szCs w:val="22"/>
          <w:highlight w:val="none"/>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"_Toc95223332"</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第一章</w:t>
      </w:r>
      <w:r>
        <w:rPr>
          <w:rStyle w:val="58"/>
          <w:color w:val="auto"/>
          <w:sz w:val="28"/>
          <w:highlight w:val="none"/>
        </w:rPr>
        <w:t xml:space="preserve"> </w:t>
      </w:r>
      <w:r>
        <w:rPr>
          <w:rStyle w:val="58"/>
          <w:rFonts w:hint="eastAsia"/>
          <w:color w:val="auto"/>
          <w:sz w:val="28"/>
          <w:highlight w:val="none"/>
        </w:rPr>
        <w:t>招标公告</w:t>
      </w:r>
      <w:r>
        <w:rPr>
          <w:color w:val="auto"/>
          <w:sz w:val="28"/>
          <w:highlight w:val="none"/>
        </w:rPr>
        <w:tab/>
      </w:r>
      <w:r>
        <w:rPr>
          <w:rFonts w:hint="eastAsia"/>
          <w:color w:val="auto"/>
          <w:sz w:val="28"/>
          <w:highlight w:val="none"/>
          <w:lang w:val="en-US" w:eastAsia="zh-CN"/>
        </w:rPr>
        <w:t>1</w:t>
      </w:r>
      <w:r>
        <w:rPr>
          <w:rStyle w:val="58"/>
          <w:color w:val="auto"/>
          <w:sz w:val="28"/>
          <w:highlight w:val="none"/>
        </w:rPr>
        <w:fldChar w:fldCharType="end"/>
      </w:r>
    </w:p>
    <w:p>
      <w:pPr>
        <w:pStyle w:val="31"/>
        <w:tabs>
          <w:tab w:val="right" w:leader="dot" w:pos="10120"/>
        </w:tabs>
        <w:rPr>
          <w:rFonts w:ascii="Calibri" w:hAnsi="Calibri"/>
          <w:b w:val="0"/>
          <w:bCs w:val="0"/>
          <w:caps w:val="0"/>
          <w:color w:val="auto"/>
          <w:sz w:val="32"/>
          <w:szCs w:val="22"/>
          <w:highlight w:val="none"/>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"_Toc95223333"</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第二章</w:t>
      </w:r>
      <w:r>
        <w:rPr>
          <w:rStyle w:val="58"/>
          <w:color w:val="auto"/>
          <w:sz w:val="28"/>
          <w:highlight w:val="none"/>
        </w:rPr>
        <w:t xml:space="preserve"> </w:t>
      </w:r>
      <w:r>
        <w:rPr>
          <w:rStyle w:val="58"/>
          <w:rFonts w:hint="eastAsia"/>
          <w:color w:val="auto"/>
          <w:sz w:val="28"/>
          <w:highlight w:val="none"/>
        </w:rPr>
        <w:t>投标人须知</w:t>
      </w:r>
      <w:r>
        <w:rPr>
          <w:color w:val="auto"/>
          <w:sz w:val="28"/>
          <w:highlight w:val="none"/>
        </w:rPr>
        <w:tab/>
      </w:r>
      <w:r>
        <w:rPr>
          <w:rFonts w:hint="eastAsia"/>
          <w:color w:val="auto"/>
          <w:sz w:val="28"/>
          <w:highlight w:val="none"/>
          <w:lang w:val="en-US" w:eastAsia="zh-CN"/>
        </w:rPr>
        <w:t>4</w:t>
      </w:r>
      <w:r>
        <w:rPr>
          <w:rStyle w:val="58"/>
          <w:color w:val="auto"/>
          <w:sz w:val="28"/>
          <w:highlight w:val="none"/>
        </w:rPr>
        <w:fldChar w:fldCharType="end"/>
      </w:r>
    </w:p>
    <w:p>
      <w:pPr>
        <w:pStyle w:val="31"/>
        <w:tabs>
          <w:tab w:val="right" w:leader="dot" w:pos="10120"/>
        </w:tabs>
        <w:rPr>
          <w:rFonts w:hint="default"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"_Toc95223391"</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第三章</w:t>
      </w:r>
      <w:r>
        <w:rPr>
          <w:rStyle w:val="58"/>
          <w:color w:val="auto"/>
          <w:sz w:val="28"/>
          <w:highlight w:val="none"/>
        </w:rPr>
        <w:t xml:space="preserve"> </w:t>
      </w:r>
      <w:r>
        <w:rPr>
          <w:rStyle w:val="58"/>
          <w:rFonts w:hint="eastAsia"/>
          <w:color w:val="auto"/>
          <w:sz w:val="28"/>
          <w:highlight w:val="none"/>
        </w:rPr>
        <w:t>资格审查办法</w:t>
      </w:r>
      <w:r>
        <w:rPr>
          <w:color w:val="auto"/>
          <w:sz w:val="28"/>
          <w:highlight w:val="none"/>
        </w:rPr>
        <w:tab/>
      </w:r>
      <w:r>
        <w:rPr>
          <w:rStyle w:val="58"/>
          <w:color w:val="auto"/>
          <w:sz w:val="28"/>
          <w:highlight w:val="none"/>
        </w:rPr>
        <w:fldChar w:fldCharType="end"/>
      </w:r>
      <w:r>
        <w:rPr>
          <w:rStyle w:val="58"/>
          <w:rFonts w:hint="eastAsia"/>
          <w:color w:val="auto"/>
          <w:sz w:val="28"/>
          <w:highlight w:val="none"/>
          <w:lang w:val="en-US" w:eastAsia="zh-CN"/>
        </w:rPr>
        <w:t>16</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"_Toc95223398"</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第四章</w:t>
      </w:r>
      <w:r>
        <w:rPr>
          <w:rStyle w:val="58"/>
          <w:color w:val="auto"/>
          <w:sz w:val="28"/>
          <w:highlight w:val="none"/>
        </w:rPr>
        <w:t xml:space="preserve"> </w:t>
      </w:r>
      <w:r>
        <w:rPr>
          <w:rStyle w:val="58"/>
          <w:rFonts w:hint="eastAsia"/>
          <w:color w:val="auto"/>
          <w:sz w:val="28"/>
          <w:highlight w:val="none"/>
        </w:rPr>
        <w:t>评标办法（</w:t>
      </w:r>
      <w:r>
        <w:rPr>
          <w:rStyle w:val="58"/>
          <w:rFonts w:hint="eastAsia"/>
          <w:color w:val="auto"/>
          <w:sz w:val="28"/>
          <w:highlight w:val="none"/>
          <w:lang w:eastAsia="zh-CN"/>
        </w:rPr>
        <w:t>经评审的最低投标价法</w:t>
      </w:r>
      <w:r>
        <w:rPr>
          <w:rStyle w:val="58"/>
          <w:rFonts w:hint="eastAsia"/>
          <w:color w:val="auto"/>
          <w:sz w:val="28"/>
          <w:highlight w:val="none"/>
        </w:rPr>
        <w:t>）</w:t>
      </w:r>
      <w:bookmarkStart w:id="16" w:name="_Hlt95225442"/>
      <w:r>
        <w:rPr>
          <w:color w:val="auto"/>
          <w:sz w:val="28"/>
          <w:highlight w:val="none"/>
        </w:rPr>
        <w:tab/>
      </w:r>
      <w:bookmarkEnd w:id="16"/>
      <w:r>
        <w:rPr>
          <w:rFonts w:hint="eastAsia"/>
          <w:color w:val="auto"/>
          <w:sz w:val="28"/>
          <w:highlight w:val="none"/>
          <w:lang w:val="en-US" w:eastAsia="zh-CN"/>
        </w:rPr>
        <w:t>1</w:t>
      </w:r>
      <w:r>
        <w:rPr>
          <w:rStyle w:val="58"/>
          <w:color w:val="auto"/>
          <w:sz w:val="28"/>
          <w:highlight w:val="none"/>
        </w:rPr>
        <w:fldChar w:fldCharType="end"/>
      </w:r>
      <w:r>
        <w:rPr>
          <w:rStyle w:val="58"/>
          <w:rFonts w:hint="eastAsia"/>
          <w:color w:val="auto"/>
          <w:sz w:val="28"/>
          <w:highlight w:val="none"/>
          <w:lang w:val="en-US" w:eastAsia="zh-CN"/>
        </w:rPr>
        <w:t>8</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"_Toc95223458"</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第五章</w:t>
      </w:r>
      <w:r>
        <w:rPr>
          <w:rStyle w:val="58"/>
          <w:color w:val="auto"/>
          <w:sz w:val="28"/>
          <w:highlight w:val="none"/>
        </w:rPr>
        <w:t xml:space="preserve"> </w:t>
      </w:r>
      <w:r>
        <w:rPr>
          <w:rStyle w:val="58"/>
          <w:rFonts w:hint="eastAsia"/>
          <w:color w:val="auto"/>
          <w:sz w:val="28"/>
          <w:highlight w:val="none"/>
        </w:rPr>
        <w:t>合同条款及格式</w:t>
      </w:r>
      <w:r>
        <w:rPr>
          <w:color w:val="auto"/>
          <w:sz w:val="28"/>
          <w:highlight w:val="none"/>
        </w:rPr>
        <w:tab/>
      </w:r>
      <w:r>
        <w:rPr>
          <w:rFonts w:hint="eastAsia"/>
          <w:color w:val="auto"/>
          <w:sz w:val="28"/>
          <w:highlight w:val="none"/>
          <w:lang w:val="en-US" w:eastAsia="zh-CN"/>
        </w:rPr>
        <w:t>2</w:t>
      </w:r>
      <w:r>
        <w:rPr>
          <w:rStyle w:val="58"/>
          <w:color w:val="auto"/>
          <w:sz w:val="28"/>
          <w:highlight w:val="none"/>
        </w:rPr>
        <w:fldChar w:fldCharType="end"/>
      </w:r>
      <w:r>
        <w:rPr>
          <w:rStyle w:val="58"/>
          <w:rFonts w:hint="eastAsia"/>
          <w:color w:val="auto"/>
          <w:sz w:val="28"/>
          <w:highlight w:val="none"/>
          <w:lang w:val="en-US" w:eastAsia="zh-CN"/>
        </w:rPr>
        <w:t>4</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"_Toc95223515"</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ascii="宋体" w:hAnsi="宋体" w:cs="宋体"/>
          <w:color w:val="auto"/>
          <w:kern w:val="44"/>
          <w:sz w:val="28"/>
          <w:highlight w:val="none"/>
        </w:rPr>
        <w:t>第六章 工程量清单</w:t>
      </w:r>
      <w:r>
        <w:rPr>
          <w:color w:val="auto"/>
          <w:sz w:val="28"/>
          <w:highlight w:val="none"/>
        </w:rPr>
        <w:tab/>
      </w:r>
      <w:r>
        <w:rPr>
          <w:rFonts w:hint="eastAsia"/>
          <w:color w:val="auto"/>
          <w:sz w:val="28"/>
          <w:highlight w:val="none"/>
          <w:lang w:val="en-US" w:eastAsia="zh-CN"/>
        </w:rPr>
        <w:t>2</w:t>
      </w:r>
      <w:r>
        <w:rPr>
          <w:rStyle w:val="58"/>
          <w:color w:val="auto"/>
          <w:sz w:val="28"/>
          <w:highlight w:val="none"/>
        </w:rPr>
        <w:fldChar w:fldCharType="end"/>
      </w:r>
      <w:r>
        <w:rPr>
          <w:rStyle w:val="58"/>
          <w:rFonts w:hint="eastAsia"/>
          <w:color w:val="auto"/>
          <w:sz w:val="28"/>
          <w:highlight w:val="none"/>
          <w:lang w:val="en-US" w:eastAsia="zh-CN"/>
        </w:rPr>
        <w:t>4</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"_Toc95223522"</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ascii="宋体" w:hAnsi="宋体" w:cs="宋体"/>
          <w:color w:val="auto"/>
          <w:kern w:val="44"/>
          <w:sz w:val="28"/>
          <w:highlight w:val="none"/>
        </w:rPr>
        <w:t>第七章</w:t>
      </w:r>
      <w:r>
        <w:rPr>
          <w:rStyle w:val="58"/>
          <w:rFonts w:ascii="宋体" w:hAnsi="宋体" w:cs="宋体"/>
          <w:color w:val="auto"/>
          <w:kern w:val="44"/>
          <w:sz w:val="28"/>
          <w:highlight w:val="none"/>
        </w:rPr>
        <w:t xml:space="preserve"> </w:t>
      </w:r>
      <w:r>
        <w:rPr>
          <w:rStyle w:val="58"/>
          <w:rFonts w:hint="eastAsia" w:ascii="宋体" w:hAnsi="宋体" w:cs="宋体"/>
          <w:color w:val="auto"/>
          <w:kern w:val="44"/>
          <w:sz w:val="28"/>
          <w:highlight w:val="none"/>
        </w:rPr>
        <w:t>图</w:t>
      </w:r>
      <w:r>
        <w:rPr>
          <w:rStyle w:val="58"/>
          <w:rFonts w:ascii="宋体" w:hAnsi="宋体" w:cs="宋体"/>
          <w:color w:val="auto"/>
          <w:kern w:val="44"/>
          <w:sz w:val="28"/>
          <w:highlight w:val="none"/>
        </w:rPr>
        <w:t xml:space="preserve">  </w:t>
      </w:r>
      <w:r>
        <w:rPr>
          <w:rStyle w:val="58"/>
          <w:rFonts w:hint="eastAsia" w:ascii="宋体" w:hAnsi="宋体" w:cs="宋体"/>
          <w:color w:val="auto"/>
          <w:kern w:val="44"/>
          <w:sz w:val="28"/>
          <w:highlight w:val="none"/>
        </w:rPr>
        <w:t>纸</w:t>
      </w:r>
      <w:r>
        <w:rPr>
          <w:color w:val="auto"/>
          <w:sz w:val="28"/>
          <w:highlight w:val="none"/>
        </w:rPr>
        <w:tab/>
      </w:r>
      <w:r>
        <w:rPr>
          <w:rFonts w:hint="eastAsia"/>
          <w:color w:val="auto"/>
          <w:sz w:val="28"/>
          <w:highlight w:val="none"/>
          <w:lang w:val="en-US" w:eastAsia="zh-CN"/>
        </w:rPr>
        <w:t>2</w:t>
      </w:r>
      <w:r>
        <w:rPr>
          <w:rStyle w:val="58"/>
          <w:color w:val="auto"/>
          <w:sz w:val="28"/>
          <w:highlight w:val="none"/>
        </w:rPr>
        <w:fldChar w:fldCharType="end"/>
      </w:r>
      <w:r>
        <w:rPr>
          <w:rStyle w:val="58"/>
          <w:rFonts w:hint="eastAsia"/>
          <w:color w:val="auto"/>
          <w:sz w:val="28"/>
          <w:highlight w:val="none"/>
          <w:lang w:val="en-US" w:eastAsia="zh-CN"/>
        </w:rPr>
        <w:t>4</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"_Toc95223525"</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ascii="宋体" w:hAnsi="宋体" w:cs="宋体"/>
          <w:color w:val="auto"/>
          <w:kern w:val="44"/>
          <w:sz w:val="28"/>
          <w:highlight w:val="none"/>
        </w:rPr>
        <w:t>第八章 技术标准和要求</w:t>
      </w:r>
      <w:r>
        <w:rPr>
          <w:color w:val="auto"/>
          <w:sz w:val="28"/>
          <w:highlight w:val="none"/>
        </w:rPr>
        <w:tab/>
      </w:r>
      <w:r>
        <w:rPr>
          <w:rFonts w:hint="eastAsia"/>
          <w:color w:val="auto"/>
          <w:sz w:val="28"/>
          <w:highlight w:val="none"/>
          <w:lang w:val="en-US" w:eastAsia="zh-CN"/>
        </w:rPr>
        <w:t>2</w:t>
      </w:r>
      <w:r>
        <w:rPr>
          <w:rStyle w:val="58"/>
          <w:color w:val="auto"/>
          <w:sz w:val="28"/>
          <w:highlight w:val="none"/>
        </w:rPr>
        <w:fldChar w:fldCharType="end"/>
      </w:r>
      <w:r>
        <w:rPr>
          <w:rStyle w:val="58"/>
          <w:rFonts w:hint="eastAsia"/>
          <w:color w:val="auto"/>
          <w:sz w:val="28"/>
          <w:highlight w:val="none"/>
          <w:lang w:val="en-US" w:eastAsia="zh-CN"/>
        </w:rPr>
        <w:t>4</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"_Toc95223531"</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color w:val="auto"/>
          <w:sz w:val="28"/>
          <w:highlight w:val="none"/>
        </w:rPr>
        <w:t>第九章 投标文件格式</w:t>
      </w:r>
      <w:r>
        <w:rPr>
          <w:color w:val="auto"/>
          <w:sz w:val="28"/>
          <w:highlight w:val="none"/>
        </w:rPr>
        <w:tab/>
      </w:r>
      <w:r>
        <w:rPr>
          <w:rFonts w:hint="eastAsia"/>
          <w:color w:val="auto"/>
          <w:sz w:val="28"/>
          <w:highlight w:val="none"/>
          <w:lang w:val="en-US" w:eastAsia="zh-CN"/>
        </w:rPr>
        <w:t>2</w:t>
      </w:r>
      <w:r>
        <w:rPr>
          <w:rStyle w:val="58"/>
          <w:color w:val="auto"/>
          <w:sz w:val="28"/>
          <w:highlight w:val="none"/>
        </w:rPr>
        <w:fldChar w:fldCharType="end"/>
      </w:r>
      <w:r>
        <w:rPr>
          <w:rStyle w:val="58"/>
          <w:rFonts w:hint="eastAsia"/>
          <w:color w:val="auto"/>
          <w:sz w:val="28"/>
          <w:highlight w:val="none"/>
          <w:lang w:val="en-US" w:eastAsia="zh-CN"/>
        </w:rPr>
        <w:t>5</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b w:val="0"/>
          <w:bCs w:val="0"/>
          <w:color w:val="auto"/>
          <w:sz w:val="28"/>
          <w:highlight w:val="none"/>
        </w:rPr>
        <w:fldChar w:fldCharType="begin"/>
      </w:r>
      <w:r>
        <w:rPr>
          <w:rStyle w:val="58"/>
          <w:b w:val="0"/>
          <w:bCs w:val="0"/>
          <w:color w:val="auto"/>
          <w:sz w:val="28"/>
          <w:highlight w:val="none"/>
        </w:rPr>
        <w:instrText xml:space="preserve"> </w:instrText>
      </w:r>
      <w:r>
        <w:rPr>
          <w:b w:val="0"/>
          <w:bCs w:val="0"/>
          <w:color w:val="auto"/>
          <w:sz w:val="28"/>
          <w:highlight w:val="none"/>
        </w:rPr>
        <w:instrText xml:space="preserve">HYPERLINK \l "_Toc95223547"</w:instrText>
      </w:r>
      <w:r>
        <w:rPr>
          <w:rStyle w:val="58"/>
          <w:b w:val="0"/>
          <w:bCs w:val="0"/>
          <w:color w:val="auto"/>
          <w:sz w:val="28"/>
          <w:highlight w:val="none"/>
        </w:rPr>
        <w:instrText xml:space="preserve"> </w:instrText>
      </w:r>
      <w:r>
        <w:rPr>
          <w:rStyle w:val="58"/>
          <w:b w:val="0"/>
          <w:bCs w:val="0"/>
          <w:color w:val="auto"/>
          <w:sz w:val="28"/>
          <w:highlight w:val="none"/>
        </w:rPr>
        <w:fldChar w:fldCharType="separate"/>
      </w:r>
      <w:r>
        <w:rPr>
          <w:rStyle w:val="58"/>
          <w:rFonts w:hint="eastAsia" w:eastAsia="黑体"/>
          <w:b w:val="0"/>
          <w:bCs w:val="0"/>
          <w:color w:val="auto"/>
          <w:sz w:val="28"/>
          <w:highlight w:val="none"/>
        </w:rPr>
        <w:t>第十章</w:t>
      </w:r>
      <w:r>
        <w:rPr>
          <w:rStyle w:val="58"/>
          <w:rFonts w:eastAsia="黑体"/>
          <w:b w:val="0"/>
          <w:bCs w:val="0"/>
          <w:color w:val="auto"/>
          <w:sz w:val="28"/>
          <w:highlight w:val="none"/>
        </w:rPr>
        <w:t xml:space="preserve"> </w:t>
      </w:r>
      <w:r>
        <w:rPr>
          <w:rStyle w:val="58"/>
          <w:rFonts w:hint="eastAsia" w:eastAsia="黑体"/>
          <w:b w:val="0"/>
          <w:bCs w:val="0"/>
          <w:color w:val="auto"/>
          <w:sz w:val="28"/>
          <w:highlight w:val="none"/>
        </w:rPr>
        <w:t xml:space="preserve"> 招标人、招标代理机构对本招标文件的确认</w:t>
      </w:r>
      <w:bookmarkStart w:id="17" w:name="_Hlt95223550"/>
      <w:bookmarkStart w:id="18" w:name="_Hlt95223551"/>
      <w:r>
        <w:rPr>
          <w:b w:val="0"/>
          <w:bCs w:val="0"/>
          <w:color w:val="auto"/>
          <w:sz w:val="28"/>
          <w:highlight w:val="none"/>
        </w:rPr>
        <w:tab/>
      </w:r>
      <w:bookmarkEnd w:id="17"/>
      <w:bookmarkEnd w:id="18"/>
      <w:r>
        <w:rPr>
          <w:rFonts w:hint="eastAsia"/>
          <w:b w:val="0"/>
          <w:bCs w:val="0"/>
          <w:color w:val="auto"/>
          <w:sz w:val="28"/>
          <w:highlight w:val="none"/>
          <w:lang w:val="en-US" w:eastAsia="zh-CN"/>
        </w:rPr>
        <w:t>3</w:t>
      </w:r>
      <w:r>
        <w:rPr>
          <w:rStyle w:val="58"/>
          <w:b w:val="0"/>
          <w:bCs w:val="0"/>
          <w:color w:val="auto"/>
          <w:sz w:val="28"/>
          <w:highlight w:val="none"/>
        </w:rPr>
        <w:fldChar w:fldCharType="end"/>
      </w:r>
      <w:r>
        <w:rPr>
          <w:rStyle w:val="58"/>
          <w:rFonts w:hint="eastAsia"/>
          <w:b w:val="0"/>
          <w:bCs w:val="0"/>
          <w:color w:val="auto"/>
          <w:sz w:val="28"/>
          <w:highlight w:val="none"/>
          <w:lang w:val="en-US" w:eastAsia="zh-CN"/>
        </w:rPr>
        <w:t>4</w:t>
      </w:r>
    </w:p>
    <w:p>
      <w:pPr>
        <w:pStyle w:val="31"/>
        <w:tabs>
          <w:tab w:val="right" w:leader="dot" w:pos="10120"/>
        </w:tabs>
        <w:rPr>
          <w:rFonts w:hint="eastAsia" w:ascii="Calibri" w:hAnsi="Calibri" w:eastAsia="宋体"/>
          <w:b w:val="0"/>
          <w:bCs w:val="0"/>
          <w:caps w:val="0"/>
          <w:color w:val="auto"/>
          <w:sz w:val="32"/>
          <w:szCs w:val="22"/>
          <w:highlight w:val="none"/>
          <w:lang w:val="en-US" w:eastAsia="zh-CN"/>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"_Toc95223548"</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ascii="黑体" w:hAnsi="黑体" w:eastAsia="黑体"/>
          <w:color w:val="auto"/>
          <w:sz w:val="28"/>
          <w:highlight w:val="none"/>
        </w:rPr>
        <w:t>附件</w:t>
      </w:r>
      <w:r>
        <w:rPr>
          <w:rStyle w:val="58"/>
          <w:rFonts w:ascii="黑体" w:hAnsi="黑体" w:eastAsia="黑体"/>
          <w:color w:val="auto"/>
          <w:sz w:val="28"/>
          <w:highlight w:val="none"/>
        </w:rPr>
        <w:t xml:space="preserve">1 </w:t>
      </w:r>
      <w:r>
        <w:rPr>
          <w:rStyle w:val="58"/>
          <w:rFonts w:hint="eastAsia" w:ascii="黑体" w:hAnsi="黑体" w:eastAsia="黑体"/>
          <w:color w:val="auto"/>
          <w:sz w:val="28"/>
          <w:highlight w:val="none"/>
        </w:rPr>
        <w:t>关于联合惩戒失信行为加强信用查询管理的通知</w:t>
      </w:r>
      <w:r>
        <w:rPr>
          <w:color w:val="auto"/>
          <w:sz w:val="28"/>
          <w:highlight w:val="none"/>
        </w:rPr>
        <w:tab/>
      </w:r>
      <w:r>
        <w:rPr>
          <w:rFonts w:hint="eastAsia"/>
          <w:color w:val="auto"/>
          <w:sz w:val="28"/>
          <w:highlight w:val="none"/>
          <w:lang w:val="en-US" w:eastAsia="zh-CN"/>
        </w:rPr>
        <w:t>3</w:t>
      </w:r>
      <w:r>
        <w:rPr>
          <w:rStyle w:val="58"/>
          <w:color w:val="auto"/>
          <w:sz w:val="28"/>
          <w:highlight w:val="none"/>
        </w:rPr>
        <w:fldChar w:fldCharType="end"/>
      </w:r>
      <w:r>
        <w:rPr>
          <w:rStyle w:val="58"/>
          <w:rFonts w:hint="eastAsia"/>
          <w:color w:val="auto"/>
          <w:sz w:val="28"/>
          <w:highlight w:val="none"/>
          <w:lang w:val="en-US" w:eastAsia="zh-CN"/>
        </w:rPr>
        <w:t>2</w:t>
      </w:r>
    </w:p>
    <w:p>
      <w:pPr>
        <w:pStyle w:val="31"/>
        <w:tabs>
          <w:tab w:val="right" w:leader="dot" w:pos="10120"/>
        </w:tabs>
        <w:rPr>
          <w:rStyle w:val="58"/>
          <w:rFonts w:hint="eastAsia"/>
          <w:color w:val="auto"/>
          <w:sz w:val="28"/>
          <w:highlight w:val="none"/>
        </w:rPr>
      </w:pPr>
      <w:r>
        <w:rPr>
          <w:rStyle w:val="58"/>
          <w:color w:val="auto"/>
          <w:sz w:val="28"/>
          <w:highlight w:val="none"/>
        </w:rPr>
        <w:fldChar w:fldCharType="begin"/>
      </w:r>
      <w:r>
        <w:rPr>
          <w:rStyle w:val="58"/>
          <w:color w:val="auto"/>
          <w:sz w:val="28"/>
          <w:highlight w:val="none"/>
        </w:rPr>
        <w:instrText xml:space="preserve"> </w:instrText>
      </w:r>
      <w:r>
        <w:rPr>
          <w:color w:val="auto"/>
          <w:sz w:val="28"/>
          <w:highlight w:val="none"/>
        </w:rPr>
        <w:instrText xml:space="preserve">HYPERLINK \l "_Toc95223549"</w:instrText>
      </w:r>
      <w:r>
        <w:rPr>
          <w:rStyle w:val="58"/>
          <w:color w:val="auto"/>
          <w:sz w:val="28"/>
          <w:highlight w:val="none"/>
        </w:rPr>
        <w:instrText xml:space="preserve"> </w:instrText>
      </w:r>
      <w:r>
        <w:rPr>
          <w:rStyle w:val="58"/>
          <w:color w:val="auto"/>
          <w:sz w:val="28"/>
          <w:highlight w:val="none"/>
        </w:rPr>
        <w:fldChar w:fldCharType="separate"/>
      </w:r>
      <w:r>
        <w:rPr>
          <w:rStyle w:val="58"/>
          <w:rFonts w:hint="eastAsia" w:ascii="黑体" w:hAnsi="黑体" w:eastAsia="黑体"/>
          <w:color w:val="auto"/>
          <w:sz w:val="28"/>
          <w:highlight w:val="none"/>
        </w:rPr>
        <w:t>附件</w:t>
      </w:r>
      <w:r>
        <w:rPr>
          <w:rStyle w:val="58"/>
          <w:rFonts w:ascii="黑体" w:hAnsi="黑体" w:eastAsia="黑体"/>
          <w:color w:val="auto"/>
          <w:sz w:val="28"/>
          <w:highlight w:val="none"/>
        </w:rPr>
        <w:t xml:space="preserve">2 </w:t>
      </w:r>
      <w:r>
        <w:rPr>
          <w:rStyle w:val="58"/>
          <w:rFonts w:hint="eastAsia" w:ascii="黑体" w:hAnsi="黑体" w:eastAsia="黑体"/>
          <w:color w:val="auto"/>
          <w:sz w:val="28"/>
          <w:highlight w:val="none"/>
        </w:rPr>
        <w:t>“信用中国”查询的严重失信行为类别及判定依据</w:t>
      </w:r>
      <w:r>
        <w:rPr>
          <w:color w:val="auto"/>
          <w:sz w:val="28"/>
          <w:highlight w:val="none"/>
        </w:rPr>
        <w:tab/>
      </w:r>
      <w:r>
        <w:rPr>
          <w:color w:val="auto"/>
          <w:sz w:val="28"/>
          <w:highlight w:val="none"/>
        </w:rPr>
        <w:fldChar w:fldCharType="begin"/>
      </w:r>
      <w:r>
        <w:rPr>
          <w:color w:val="auto"/>
          <w:sz w:val="28"/>
          <w:highlight w:val="none"/>
        </w:rPr>
        <w:instrText xml:space="preserve"> PAGEREF _Toc95223549 \h </w:instrText>
      </w:r>
      <w:r>
        <w:rPr>
          <w:color w:val="auto"/>
          <w:sz w:val="28"/>
          <w:highlight w:val="none"/>
        </w:rPr>
        <w:fldChar w:fldCharType="separate"/>
      </w:r>
      <w:r>
        <w:rPr>
          <w:rFonts w:hint="eastAsia"/>
          <w:color w:val="auto"/>
          <w:sz w:val="28"/>
          <w:highlight w:val="none"/>
          <w:lang w:val="en-US" w:eastAsia="zh-CN"/>
        </w:rPr>
        <w:t>39</w:t>
      </w:r>
      <w:r>
        <w:rPr>
          <w:color w:val="auto"/>
          <w:sz w:val="28"/>
          <w:highlight w:val="none"/>
        </w:rPr>
        <w:fldChar w:fldCharType="end"/>
      </w:r>
      <w:r>
        <w:rPr>
          <w:rStyle w:val="58"/>
          <w:color w:val="auto"/>
          <w:sz w:val="28"/>
          <w:highlight w:val="none"/>
        </w:rPr>
        <w:fldChar w:fldCharType="end"/>
      </w:r>
    </w:p>
    <w:p>
      <w:pPr>
        <w:pStyle w:val="2"/>
        <w:spacing w:line="700" w:lineRule="exact"/>
        <w:ind w:left="0" w:leftChars="0" w:firstLine="480"/>
        <w:jc w:val="left"/>
        <w:rPr>
          <w:color w:val="auto"/>
          <w:sz w:val="24"/>
          <w:szCs w:val="24"/>
          <w:highlight w:val="none"/>
        </w:rPr>
      </w:pPr>
    </w:p>
    <w:p>
      <w:pPr>
        <w:pStyle w:val="44"/>
        <w:spacing w:line="700" w:lineRule="exact"/>
        <w:jc w:val="left"/>
        <w:rPr>
          <w:color w:val="auto"/>
          <w:sz w:val="24"/>
          <w:szCs w:val="24"/>
          <w:highlight w:val="none"/>
        </w:rPr>
        <w:sectPr>
          <w:footerReference r:id="rId5" w:type="default"/>
          <w:pgSz w:w="11906" w:h="16838"/>
          <w:pgMar w:top="1134" w:right="1417" w:bottom="1134" w:left="1417" w:header="851" w:footer="992" w:gutter="0"/>
          <w:pgNumType w:start="1"/>
          <w:cols w:space="720" w:num="1"/>
          <w:docGrid w:type="lines" w:linePitch="312" w:charSpace="0"/>
        </w:sectPr>
      </w:pPr>
    </w:p>
    <w:bookmarkEnd w:id="12"/>
    <w:bookmarkEnd w:id="13"/>
    <w:bookmarkEnd w:id="14"/>
    <w:bookmarkEnd w:id="15"/>
    <w:p>
      <w:pPr>
        <w:pStyle w:val="44"/>
        <w:spacing w:beforeLines="50" w:afterLines="50" w:line="440" w:lineRule="exact"/>
        <w:rPr>
          <w:rFonts w:hint="eastAsia" w:eastAsia="宋体" w:cs="Times New Roman"/>
          <w:bCs/>
          <w:color w:val="auto"/>
          <w:szCs w:val="32"/>
          <w:highlight w:val="none"/>
        </w:rPr>
      </w:pPr>
      <w:bookmarkStart w:id="19" w:name="_Toc78803320"/>
      <w:bookmarkStart w:id="20" w:name="_Toc152042303"/>
      <w:bookmarkStart w:id="21" w:name="_Toc144974495"/>
      <w:bookmarkStart w:id="22" w:name="_Toc35425050"/>
      <w:bookmarkStart w:id="23" w:name="_Toc35424883"/>
      <w:bookmarkStart w:id="24" w:name="_Toc179632544"/>
      <w:bookmarkStart w:id="25" w:name="_Toc324404813"/>
      <w:bookmarkStart w:id="26" w:name="_Toc246996916"/>
      <w:bookmarkStart w:id="27" w:name="_Toc247085687"/>
      <w:bookmarkStart w:id="28" w:name="_Toc246996173"/>
      <w:bookmarkStart w:id="29" w:name="_Toc15058844"/>
      <w:bookmarkStart w:id="30" w:name="_Toc506107267"/>
      <w:bookmarkStart w:id="31" w:name="_Toc152045527"/>
      <w:r>
        <w:rPr>
          <w:rFonts w:hint="eastAsia" w:eastAsia="宋体" w:cs="Times New Roman"/>
          <w:bCs/>
          <w:color w:val="auto"/>
          <w:szCs w:val="32"/>
          <w:highlight w:val="none"/>
          <w:lang w:val="en-US" w:eastAsia="zh-CN"/>
        </w:rPr>
        <w:t xml:space="preserve">第一章 </w:t>
      </w:r>
      <w:r>
        <w:rPr>
          <w:rFonts w:hint="eastAsia" w:eastAsia="宋体" w:cs="Times New Roman"/>
          <w:bCs/>
          <w:color w:val="auto"/>
          <w:szCs w:val="32"/>
          <w:highlight w:val="none"/>
        </w:rPr>
        <w:t>招标公告</w:t>
      </w:r>
      <w:bookmarkEnd w:id="19"/>
    </w:p>
    <w:tbl>
      <w:tblPr>
        <w:tblStyle w:val="47"/>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7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
                <w:bCs/>
                <w:color w:val="auto"/>
                <w:sz w:val="21"/>
                <w:szCs w:val="21"/>
                <w:highlight w:val="none"/>
              </w:rPr>
              <w:t>招标条件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933" w:type="dxa"/>
            <w:noWrap w:val="0"/>
            <w:vAlign w:val="center"/>
          </w:tcPr>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项目</w:t>
            </w:r>
            <w:r>
              <w:rPr>
                <w:rFonts w:hint="eastAsia" w:ascii="宋体" w:hAnsi="宋体" w:eastAsia="宋体" w:cs="宋体"/>
                <w:color w:val="auto"/>
                <w:kern w:val="0"/>
                <w:sz w:val="21"/>
                <w:szCs w:val="21"/>
                <w:highlight w:val="none"/>
              </w:rPr>
              <w:t>名称</w:t>
            </w:r>
          </w:p>
        </w:tc>
        <w:tc>
          <w:tcPr>
            <w:tcW w:w="7997" w:type="dxa"/>
            <w:noWrap w:val="0"/>
            <w:vAlign w:val="top"/>
          </w:tcPr>
          <w:p>
            <w:pPr>
              <w:keepNext w:val="0"/>
              <w:keepLines w:val="0"/>
              <w:pageBreakBefore w:val="0"/>
              <w:kinsoku/>
              <w:wordWrap w:val="0"/>
              <w:overflowPunct/>
              <w:topLinePunct w:val="0"/>
              <w:autoSpaceDE/>
              <w:autoSpaceDN/>
              <w:bidi w:val="0"/>
              <w:adjustRightInd/>
              <w:snapToGrid/>
              <w:spacing w:line="440" w:lineRule="exact"/>
              <w:jc w:val="left"/>
              <w:textAlignment w:val="auto"/>
              <w:rPr>
                <w:rFonts w:hint="eastAsia" w:ascii="宋体" w:hAnsi="宋体" w:eastAsia="宋体" w:cs="宋体"/>
                <w:bCs/>
                <w:color w:val="auto"/>
                <w:kern w:val="1"/>
                <w:sz w:val="21"/>
                <w:szCs w:val="21"/>
                <w:highlight w:val="none"/>
              </w:rPr>
            </w:pPr>
            <w:r>
              <w:rPr>
                <w:rFonts w:hint="eastAsia" w:ascii="宋体" w:hAnsi="宋体" w:cs="宋体"/>
                <w:bCs/>
                <w:color w:val="auto"/>
                <w:kern w:val="1"/>
                <w:sz w:val="21"/>
                <w:szCs w:val="21"/>
                <w:highlight w:val="none"/>
                <w:lang w:eastAsia="zh-CN"/>
              </w:rPr>
              <w:t>安徽扬子投资发展有限公司扬子现代产业园屋面钢结构防火涂料施工项目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招标人</w:t>
            </w:r>
          </w:p>
        </w:tc>
        <w:tc>
          <w:tcPr>
            <w:tcW w:w="7997"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bCs/>
                <w:color w:val="auto"/>
                <w:kern w:val="1"/>
                <w:sz w:val="21"/>
                <w:szCs w:val="21"/>
                <w:highlight w:val="none"/>
                <w:lang w:eastAsia="zh-CN"/>
              </w:rPr>
              <w:t>安徽扬子投资发展有限公司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项目业主</w:t>
            </w:r>
          </w:p>
        </w:tc>
        <w:tc>
          <w:tcPr>
            <w:tcW w:w="7997" w:type="dxa"/>
            <w:noWrap w:val="0"/>
            <w:vAlign w:val="center"/>
          </w:tcPr>
          <w:p>
            <w:pPr>
              <w:keepNext w:val="0"/>
              <w:keepLines w:val="0"/>
              <w:pageBreakBefore w:val="0"/>
              <w:widowControl/>
              <w:shd w:val="clear" w:color="auto" w:fill="auto"/>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安徽扬子投资发展有限公司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7997" w:type="dxa"/>
            <w:noWrap w:val="0"/>
            <w:vAlign w:val="center"/>
          </w:tcPr>
          <w:p>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项目出资比例</w:t>
            </w:r>
          </w:p>
        </w:tc>
        <w:tc>
          <w:tcPr>
            <w:tcW w:w="7997" w:type="dxa"/>
            <w:noWrap w:val="0"/>
            <w:vAlign w:val="center"/>
          </w:tcPr>
          <w:p>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7997" w:type="dxa"/>
            <w:noWrap w:val="0"/>
            <w:vAlign w:val="center"/>
          </w:tcPr>
          <w:p>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评标办法</w:t>
            </w:r>
          </w:p>
        </w:tc>
        <w:tc>
          <w:tcPr>
            <w:tcW w:w="7997" w:type="dxa"/>
            <w:noWrap w:val="0"/>
            <w:vAlign w:val="center"/>
          </w:tcPr>
          <w:p>
            <w:pPr>
              <w:keepNext w:val="0"/>
              <w:keepLines w:val="0"/>
              <w:pageBreakBefore w:val="0"/>
              <w:widowControl/>
              <w:kinsoku/>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val="en-US" w:eastAsia="zh-CN"/>
              </w:rPr>
              <w:t>经评审的最低投标价法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项目概况与招标范围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招标项目名称</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安徽扬子投资发展有限公司扬子现代产业园屋面钢结构防火涂料施工项目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标段划分</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lang w:val="en-US" w:eastAsia="zh-CN"/>
              </w:rPr>
              <w:t>一个标段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建设地点</w:t>
            </w:r>
          </w:p>
        </w:tc>
        <w:tc>
          <w:tcPr>
            <w:tcW w:w="7997" w:type="dxa"/>
            <w:noWrap w:val="0"/>
            <w:vAlign w:val="center"/>
          </w:tcPr>
          <w:p>
            <w:pPr>
              <w:pStyle w:val="2"/>
              <w:keepNext w:val="0"/>
              <w:keepLines w:val="0"/>
              <w:pageBreakBefore w:val="0"/>
              <w:kinsoku/>
              <w:wordWrap w:val="0"/>
              <w:overflowPunct/>
              <w:topLinePunct w:val="0"/>
              <w:autoSpaceDE/>
              <w:autoSpaceDN/>
              <w:bidi w:val="0"/>
              <w:adjustRightInd/>
              <w:snapToGrid/>
              <w:spacing w:after="0" w:afterLines="0" w:line="440" w:lineRule="exact"/>
              <w:ind w:left="0" w:leftChars="0" w:firstLine="0" w:firstLineChars="0"/>
              <w:textAlignment w:val="auto"/>
              <w:rPr>
                <w:rFonts w:hint="eastAsia" w:ascii="宋体" w:hAnsi="宋体" w:eastAsia="宋体" w:cs="宋体"/>
                <w:color w:val="auto"/>
                <w:szCs w:val="21"/>
                <w:highlight w:val="none"/>
              </w:rPr>
            </w:pPr>
            <w:r>
              <w:rPr>
                <w:rFonts w:hint="eastAsia" w:hAnsi="宋体" w:cs="宋体"/>
                <w:color w:val="auto"/>
                <w:szCs w:val="21"/>
                <w:highlight w:val="none"/>
                <w:lang w:val="en-US" w:eastAsia="zh-CN"/>
              </w:rPr>
              <w:t>全椒县经开区十字镇纬三路151号，招标人指定地点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建设规模</w:t>
            </w:r>
          </w:p>
        </w:tc>
        <w:tc>
          <w:tcPr>
            <w:tcW w:w="7997" w:type="dxa"/>
            <w:noWrap w:val="0"/>
            <w:vAlign w:val="center"/>
          </w:tcPr>
          <w:p>
            <w:pPr>
              <w:pStyle w:val="2"/>
              <w:keepNext w:val="0"/>
              <w:keepLines w:val="0"/>
              <w:pageBreakBefore w:val="0"/>
              <w:widowControl w:val="0"/>
              <w:kinsoku/>
              <w:wordWrap w:val="0"/>
              <w:overflowPunct/>
              <w:topLinePunct w:val="0"/>
              <w:autoSpaceDE/>
              <w:autoSpaceDN/>
              <w:bidi w:val="0"/>
              <w:adjustRightInd/>
              <w:snapToGrid/>
              <w:spacing w:after="0" w:afterLines="0" w:line="400" w:lineRule="exact"/>
              <w:ind w:left="0" w:leftChars="0" w:firstLine="0" w:firstLineChars="0"/>
              <w:jc w:val="left"/>
              <w:textAlignment w:val="auto"/>
              <w:rPr>
                <w:rFonts w:hint="eastAsia" w:ascii="宋体" w:hAnsi="宋体" w:eastAsia="宋体" w:cs="宋体"/>
                <w:color w:val="auto"/>
                <w:szCs w:val="21"/>
                <w:highlight w:val="none"/>
                <w:lang w:val="en-US" w:eastAsia="zh-CN"/>
              </w:rPr>
            </w:pPr>
            <w:r>
              <w:rPr>
                <w:rFonts w:hint="eastAsia"/>
                <w:b w:val="0"/>
                <w:bCs w:val="0"/>
                <w:color w:val="auto"/>
                <w:szCs w:val="21"/>
                <w:highlight w:val="none"/>
                <w:lang w:val="en-US" w:eastAsia="zh-CN"/>
              </w:rPr>
              <w:t>四栋厂房，一栋辅房。防火涂料展开面积约22087.67㎡。</w:t>
            </w:r>
            <w:r>
              <w:rPr>
                <w:rFonts w:hint="eastAsia" w:hAnsi="宋体" w:cs="宋体"/>
                <w:color w:val="auto"/>
                <w:szCs w:val="21"/>
                <w:highlight w:val="none"/>
                <w:lang w:val="en-US" w:eastAsia="zh-CN"/>
              </w:rPr>
              <w:t>具</w:t>
            </w:r>
            <w:r>
              <w:rPr>
                <w:rFonts w:hint="eastAsia" w:ascii="宋体" w:hAnsi="宋体" w:cs="宋体"/>
                <w:color w:val="auto"/>
                <w:szCs w:val="21"/>
                <w:highlight w:val="none"/>
                <w:lang w:val="en-US" w:eastAsia="zh-CN"/>
              </w:rPr>
              <w:t>体详见施工图纸和工程量清单内容</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合同估算价</w:t>
            </w:r>
          </w:p>
        </w:tc>
        <w:tc>
          <w:tcPr>
            <w:tcW w:w="7997" w:type="dxa"/>
            <w:noWrap w:val="0"/>
            <w:vAlign w:val="center"/>
          </w:tcPr>
          <w:p>
            <w:pPr>
              <w:pStyle w:val="2"/>
              <w:keepNext w:val="0"/>
              <w:keepLines w:val="0"/>
              <w:pageBreakBefore w:val="0"/>
              <w:widowControl w:val="0"/>
              <w:kinsoku/>
              <w:wordWrap w:val="0"/>
              <w:overflowPunct/>
              <w:topLinePunct w:val="0"/>
              <w:autoSpaceDE/>
              <w:autoSpaceDN/>
              <w:bidi w:val="0"/>
              <w:adjustRightInd/>
              <w:snapToGrid/>
              <w:spacing w:after="0" w:afterLines="0" w:line="400" w:lineRule="exact"/>
              <w:ind w:left="0" w:leftChars="0" w:firstLine="0" w:firstLineChars="0"/>
              <w:jc w:val="left"/>
              <w:textAlignment w:val="auto"/>
              <w:rPr>
                <w:rFonts w:hint="eastAsia" w:ascii="宋体" w:hAnsi="宋体" w:eastAsia="宋体" w:cs="宋体"/>
                <w:color w:val="auto"/>
                <w:sz w:val="21"/>
                <w:szCs w:val="21"/>
                <w:highlight w:val="none"/>
              </w:rPr>
            </w:pPr>
            <w:r>
              <w:rPr>
                <w:rFonts w:hint="eastAsia" w:cs="Times New Roman"/>
                <w:b w:val="0"/>
                <w:bCs w:val="0"/>
                <w:color w:val="auto"/>
                <w:szCs w:val="21"/>
                <w:highlight w:val="none"/>
                <w:lang w:val="en-US" w:eastAsia="zh-CN"/>
              </w:rPr>
              <w:t>1065730.08元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7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15个日历天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招标范围</w:t>
            </w:r>
          </w:p>
        </w:tc>
        <w:tc>
          <w:tcPr>
            <w:tcW w:w="7997" w:type="dxa"/>
            <w:noWrap w:val="0"/>
            <w:vAlign w:val="center"/>
          </w:tcPr>
          <w:p>
            <w:pPr>
              <w:pStyle w:val="2"/>
              <w:keepNext w:val="0"/>
              <w:keepLines w:val="0"/>
              <w:pageBreakBefore w:val="0"/>
              <w:kinsoku/>
              <w:wordWrap/>
              <w:overflowPunct/>
              <w:topLinePunct w:val="0"/>
              <w:autoSpaceDE/>
              <w:autoSpaceDN/>
              <w:bidi w:val="0"/>
              <w:adjustRightInd/>
              <w:snapToGrid/>
              <w:spacing w:after="0" w:afterLines="0" w:line="400" w:lineRule="exact"/>
              <w:ind w:left="0" w:leftChars="0"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Cs w:val="21"/>
                <w:highlight w:val="none"/>
                <w:lang w:val="en-US" w:eastAsia="zh-CN"/>
              </w:rPr>
              <w:t>本工程施工图纸和工程量清单中的所有内容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项目类别</w:t>
            </w:r>
          </w:p>
        </w:tc>
        <w:tc>
          <w:tcPr>
            <w:tcW w:w="7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其他</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投标人资质要求</w:t>
            </w:r>
          </w:p>
        </w:tc>
        <w:tc>
          <w:tcPr>
            <w:tcW w:w="7997" w:type="dxa"/>
            <w:noWrap w:val="0"/>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default" w:ascii="宋体" w:hAnsi="宋体" w:eastAsia="宋体" w:cs="宋体"/>
                <w:color w:val="auto"/>
                <w:sz w:val="21"/>
                <w:szCs w:val="21"/>
                <w:highlight w:val="none"/>
                <w:lang w:val="en-US" w:eastAsia="zh-CN"/>
              </w:rPr>
            </w:pPr>
            <w:r>
              <w:rPr>
                <w:rFonts w:hint="eastAsia" w:ascii="宋体" w:hAnsi="Times New Roman" w:eastAsia="宋体" w:cs="宋体"/>
                <w:color w:val="auto"/>
                <w:sz w:val="21"/>
                <w:szCs w:val="21"/>
                <w:highlight w:val="none"/>
                <w:lang w:val="en-US" w:eastAsia="zh-CN"/>
              </w:rPr>
              <w:t>投标人须具有消防设施工程专业承包二级（或以上）资质且具备有效的安全生产许可证；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项目</w:t>
            </w:r>
            <w:r>
              <w:rPr>
                <w:rFonts w:hint="eastAsia" w:ascii="宋体" w:hAnsi="宋体" w:cs="宋体"/>
                <w:bCs/>
                <w:snapToGrid w:val="0"/>
                <w:color w:val="auto"/>
                <w:kern w:val="0"/>
                <w:sz w:val="21"/>
                <w:szCs w:val="21"/>
                <w:highlight w:val="none"/>
                <w:lang w:val="en-US" w:eastAsia="zh-CN"/>
              </w:rPr>
              <w:t>经理</w:t>
            </w:r>
            <w:r>
              <w:rPr>
                <w:rFonts w:hint="eastAsia" w:ascii="宋体" w:hAnsi="宋体" w:eastAsia="宋体" w:cs="宋体"/>
                <w:bCs/>
                <w:snapToGrid w:val="0"/>
                <w:color w:val="auto"/>
                <w:kern w:val="0"/>
                <w:sz w:val="21"/>
                <w:szCs w:val="21"/>
                <w:highlight w:val="none"/>
              </w:rPr>
              <w:t>资格要求</w:t>
            </w:r>
          </w:p>
        </w:tc>
        <w:tc>
          <w:tcPr>
            <w:tcW w:w="79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color w:val="auto"/>
                <w:szCs w:val="21"/>
                <w:highlight w:val="none"/>
                <w:lang w:val="en-US" w:eastAsia="zh-CN"/>
              </w:rPr>
              <w:t>拟派的项目经理</w:t>
            </w:r>
            <w:r>
              <w:rPr>
                <w:rFonts w:hint="eastAsia" w:ascii="宋体" w:hAnsi="宋体" w:cs="Times New Roman"/>
                <w:color w:val="auto"/>
                <w:szCs w:val="21"/>
                <w:highlight w:val="none"/>
                <w:lang w:val="en-US" w:eastAsia="zh-CN"/>
              </w:rPr>
              <w:t>具有</w:t>
            </w:r>
            <w:r>
              <w:rPr>
                <w:rFonts w:hint="eastAsia" w:ascii="宋体" w:hAnsi="宋体"/>
                <w:color w:val="auto"/>
                <w:szCs w:val="21"/>
                <w:highlight w:val="none"/>
                <w:lang w:val="en-US" w:eastAsia="zh-CN"/>
              </w:rPr>
              <w:t>注册在投标单位的机电工程专业二级（或以上）注册建造师</w:t>
            </w:r>
            <w:r>
              <w:rPr>
                <w:rFonts w:hint="eastAsia" w:ascii="宋体" w:hAnsi="Times New Roman" w:eastAsia="宋体" w:cs="宋体"/>
                <w:color w:val="auto"/>
                <w:sz w:val="21"/>
                <w:szCs w:val="21"/>
                <w:highlight w:val="none"/>
                <w:lang w:val="en-US" w:eastAsia="zh-CN"/>
              </w:rPr>
              <w:t>证书且具备有效的安全生产考核合格证书（B证）</w:t>
            </w:r>
            <w:r>
              <w:rPr>
                <w:rFonts w:hint="eastAsia" w:ascii="宋体" w:hAnsi="宋体"/>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widowControl/>
              <w:spacing w:line="560" w:lineRule="exact"/>
              <w:jc w:val="center"/>
              <w:rPr>
                <w:rFonts w:hint="eastAsia" w:ascii="宋体" w:hAnsi="宋体" w:eastAsia="宋体" w:cs="宋体"/>
                <w:bCs/>
                <w:snapToGrid w:val="0"/>
                <w:color w:val="auto"/>
                <w:kern w:val="0"/>
                <w:sz w:val="21"/>
                <w:szCs w:val="21"/>
                <w:highlight w:val="none"/>
              </w:rPr>
            </w:pPr>
            <w:r>
              <w:rPr>
                <w:rFonts w:hint="eastAsia" w:ascii="宋体" w:hAnsi="宋体" w:cs="宋体"/>
                <w:color w:val="auto"/>
                <w:kern w:val="0"/>
                <w:szCs w:val="21"/>
                <w:highlight w:val="none"/>
              </w:rPr>
              <w:t>信誉要求</w:t>
            </w:r>
          </w:p>
        </w:tc>
        <w:tc>
          <w:tcPr>
            <w:tcW w:w="7997" w:type="dxa"/>
            <w:noWrap w:val="0"/>
            <w:vAlign w:val="center"/>
          </w:tcPr>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1、投标人存在以下情形之一的，不得被确定为中标人：</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①被列入“信用中国”网站“失信被执行人”的</w:t>
            </w:r>
            <w:r>
              <w:rPr>
                <w:rFonts w:hint="eastAsia" w:ascii="宋体" w:hAnsi="宋体" w:cs="宋体"/>
                <w:color w:val="auto"/>
                <w:sz w:val="21"/>
                <w:szCs w:val="21"/>
                <w:highlight w:val="none"/>
                <w:lang w:val="en-US"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②被列入“信用中国”网站“重大税收违法失信主体”的；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③被列入“信用中国”网站“拖欠农民工工资失信联合惩戒对象名单”的；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④被列入“信用中国”网站 “严重失信主体名单”的；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⑤在“信用中国”网站上披露的仍在公示期的严重失信行为(具体行为类别及判定依据见附件2)的。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⑥被列入国家企业信用信息公示系统网站“经营异常名录”或者“严重违法失信名单”的。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⑦前三年有行贿犯罪行为的单位和个人；</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⑧被滁州市县两级公管部门及各行业主管部门取消在一定期限内的投标资格且在取消期限内的；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⑨因拖欠农民工工资被县级及以上有关行政主管部门限制投标资格且在限制期限内的；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⑩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2、投标人所属分公司、办事处等分支机构存在第1条信誉要求①-⑩项情形之一的，    </w:t>
            </w:r>
            <w:r>
              <w:rPr>
                <w:rFonts w:hint="eastAsia" w:ascii="宋体" w:hAnsi="宋体" w:cs="宋体"/>
                <w:color w:val="auto"/>
                <w:sz w:val="21"/>
                <w:szCs w:val="21"/>
                <w:highlight w:val="none"/>
                <w:lang w:val="en-US" w:eastAsia="zh-CN"/>
              </w:rPr>
              <w:t>不接</w:t>
            </w:r>
            <w:r>
              <w:rPr>
                <w:rFonts w:hint="eastAsia" w:ascii="宋体" w:hAnsi="宋体" w:eastAsia="宋体" w:cs="宋体"/>
                <w:color w:val="auto"/>
                <w:sz w:val="21"/>
                <w:szCs w:val="21"/>
                <w:highlight w:val="none"/>
                <w:lang w:val="en-US" w:eastAsia="zh-CN"/>
              </w:rPr>
              <w:t>受其被确定为中标人。</w:t>
            </w:r>
          </w:p>
          <w:p>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color w:val="auto"/>
                <w:szCs w:val="21"/>
                <w:highlight w:val="none"/>
                <w:lang w:val="en-US" w:eastAsia="zh-CN"/>
              </w:rPr>
            </w:pPr>
            <w:r>
              <w:rPr>
                <w:rFonts w:hint="eastAsia" w:ascii="宋体" w:hAnsi="宋体" w:eastAsia="宋体" w:cs="宋体"/>
                <w:color w:val="auto"/>
                <w:sz w:val="21"/>
                <w:szCs w:val="21"/>
                <w:highlight w:val="none"/>
                <w:lang w:val="en-US" w:eastAsia="zh-CN"/>
              </w:rPr>
              <w:t>备注：第1、2条按照附件1“关于联合惩戒失信行为加强信用查询管理的通知”查询或承诺。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联合体投标</w:t>
            </w:r>
          </w:p>
        </w:tc>
        <w:tc>
          <w:tcPr>
            <w:tcW w:w="7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本</w:t>
            </w:r>
            <w:r>
              <w:rPr>
                <w:rFonts w:hint="eastAsia" w:ascii="宋体" w:hAnsi="宋体" w:cs="宋体"/>
                <w:color w:val="auto"/>
                <w:sz w:val="21"/>
                <w:szCs w:val="21"/>
                <w:highlight w:val="none"/>
                <w:lang w:val="en-US" w:eastAsia="zh-CN"/>
              </w:rPr>
              <w:t>项目</w:t>
            </w:r>
            <w:r>
              <w:rPr>
                <w:rFonts w:hint="eastAsia" w:ascii="宋体" w:hAnsi="宋体" w:eastAsia="宋体" w:cs="宋体"/>
                <w:color w:val="auto"/>
                <w:sz w:val="21"/>
                <w:szCs w:val="21"/>
                <w:highlight w:val="none"/>
              </w:rPr>
              <w:t>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多标段投标</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招标文件的获取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获取时间</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cs="宋体"/>
                <w:bCs/>
                <w:snapToGrid w:val="0"/>
                <w:color w:val="auto"/>
                <w:kern w:val="0"/>
                <w:szCs w:val="21"/>
                <w:highlight w:val="none"/>
                <w:u w:val="single"/>
                <w:lang w:eastAsia="zh-CN"/>
              </w:rPr>
              <w:t xml:space="preserve"> 2025 年 8 月</w:t>
            </w:r>
            <w:r>
              <w:rPr>
                <w:rFonts w:hint="eastAsia" w:ascii="宋体" w:hAnsi="宋体" w:cs="宋体"/>
                <w:bCs/>
                <w:snapToGrid w:val="0"/>
                <w:color w:val="auto"/>
                <w:kern w:val="0"/>
                <w:szCs w:val="21"/>
                <w:highlight w:val="none"/>
                <w:u w:val="single"/>
                <w:lang w:val="en-US" w:eastAsia="zh-CN"/>
              </w:rPr>
              <w:t>8</w:t>
            </w:r>
            <w:r>
              <w:rPr>
                <w:rFonts w:hint="eastAsia" w:ascii="宋体" w:hAnsi="宋体" w:eastAsia="宋体" w:cs="宋体"/>
                <w:bCs/>
                <w:snapToGrid w:val="0"/>
                <w:color w:val="auto"/>
                <w:kern w:val="0"/>
                <w:szCs w:val="21"/>
                <w:highlight w:val="none"/>
              </w:rPr>
              <w:t>日</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u w:val="single"/>
                <w:lang w:val="en-US" w:eastAsia="zh-CN"/>
              </w:rPr>
              <w:t>17</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rPr>
              <w:t>时</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u w:val="single"/>
                <w:lang w:val="en-US" w:eastAsia="zh-CN"/>
              </w:rPr>
              <w:t>00</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rPr>
              <w:t>分至</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u w:val="single"/>
                <w:lang w:val="en-US" w:eastAsia="zh-CN"/>
              </w:rPr>
              <w:t>202</w:t>
            </w:r>
            <w:r>
              <w:rPr>
                <w:rFonts w:hint="eastAsia" w:ascii="宋体" w:hAnsi="宋体" w:cs="宋体"/>
                <w:bCs/>
                <w:snapToGrid w:val="0"/>
                <w:color w:val="auto"/>
                <w:kern w:val="0"/>
                <w:szCs w:val="21"/>
                <w:highlight w:val="none"/>
                <w:u w:val="single"/>
                <w:lang w:val="en-US" w:eastAsia="zh-CN"/>
              </w:rPr>
              <w:t>5</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rPr>
              <w:t>年</w:t>
            </w:r>
            <w:r>
              <w:rPr>
                <w:rFonts w:hint="eastAsia" w:ascii="宋体" w:hAnsi="宋体" w:cs="宋体"/>
                <w:bCs/>
                <w:snapToGrid w:val="0"/>
                <w:color w:val="auto"/>
                <w:kern w:val="0"/>
                <w:szCs w:val="21"/>
                <w:highlight w:val="none"/>
                <w:u w:val="single"/>
                <w:lang w:val="en-US" w:eastAsia="zh-CN"/>
              </w:rPr>
              <w:t xml:space="preserve"> 8 </w:t>
            </w:r>
            <w:r>
              <w:rPr>
                <w:rFonts w:hint="eastAsia" w:ascii="宋体" w:hAnsi="宋体" w:eastAsia="宋体" w:cs="宋体"/>
                <w:bCs/>
                <w:snapToGrid w:val="0"/>
                <w:color w:val="auto"/>
                <w:kern w:val="0"/>
                <w:szCs w:val="21"/>
                <w:highlight w:val="none"/>
              </w:rPr>
              <w:t>月</w:t>
            </w:r>
            <w:r>
              <w:rPr>
                <w:rFonts w:hint="eastAsia" w:ascii="宋体" w:hAnsi="宋体" w:cs="宋体"/>
                <w:bCs/>
                <w:snapToGrid w:val="0"/>
                <w:color w:val="auto"/>
                <w:kern w:val="0"/>
                <w:szCs w:val="21"/>
                <w:highlight w:val="none"/>
                <w:u w:val="single"/>
                <w:lang w:val="en-US" w:eastAsia="zh-CN"/>
              </w:rPr>
              <w:t>11</w:t>
            </w:r>
            <w:r>
              <w:rPr>
                <w:rFonts w:hint="eastAsia" w:ascii="宋体" w:hAnsi="宋体" w:eastAsia="宋体" w:cs="宋体"/>
                <w:bCs/>
                <w:snapToGrid w:val="0"/>
                <w:color w:val="auto"/>
                <w:kern w:val="0"/>
                <w:szCs w:val="21"/>
                <w:highlight w:val="none"/>
              </w:rPr>
              <w:t>日</w:t>
            </w:r>
            <w:r>
              <w:rPr>
                <w:rFonts w:hint="eastAsia" w:ascii="宋体" w:hAnsi="宋体" w:eastAsia="宋体" w:cs="宋体"/>
                <w:bCs/>
                <w:snapToGrid w:val="0"/>
                <w:color w:val="auto"/>
                <w:kern w:val="0"/>
                <w:szCs w:val="21"/>
                <w:highlight w:val="none"/>
                <w:u w:val="single"/>
              </w:rPr>
              <w:t xml:space="preserve"> </w:t>
            </w:r>
            <w:r>
              <w:rPr>
                <w:rFonts w:hint="eastAsia" w:ascii="宋体" w:hAnsi="宋体" w:cs="宋体"/>
                <w:bCs/>
                <w:snapToGrid w:val="0"/>
                <w:color w:val="auto"/>
                <w:kern w:val="0"/>
                <w:szCs w:val="21"/>
                <w:highlight w:val="none"/>
                <w:u w:val="single"/>
                <w:lang w:val="en-US" w:eastAsia="zh-CN"/>
              </w:rPr>
              <w:t>15</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rPr>
              <w:t>时</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u w:val="single"/>
                <w:lang w:val="en-US" w:eastAsia="zh-CN"/>
              </w:rPr>
              <w:t>00</w:t>
            </w:r>
            <w:r>
              <w:rPr>
                <w:rFonts w:hint="eastAsia" w:ascii="宋体" w:hAnsi="宋体" w:eastAsia="宋体" w:cs="宋体"/>
                <w:bCs/>
                <w:snapToGrid w:val="0"/>
                <w:color w:val="auto"/>
                <w:kern w:val="0"/>
                <w:szCs w:val="21"/>
                <w:highlight w:val="none"/>
                <w:u w:val="single"/>
              </w:rPr>
              <w:t xml:space="preserve"> </w:t>
            </w:r>
            <w:r>
              <w:rPr>
                <w:rFonts w:hint="eastAsia" w:ascii="宋体" w:hAnsi="宋体" w:eastAsia="宋体" w:cs="宋体"/>
                <w:bCs/>
                <w:snapToGrid w:val="0"/>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Cs w:val="21"/>
                <w:highlight w:val="none"/>
              </w:rPr>
              <w:t>获取方式</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Times New Roman" w:hAnsi="Times New Roman" w:eastAsia="宋体" w:cs="Times New Roman"/>
                <w:color w:val="auto"/>
                <w:highlight w:val="none"/>
                <w:lang w:val="en-US" w:eastAsia="zh-CN"/>
              </w:rPr>
              <w:t>请于公告发布之日起从</w:t>
            </w:r>
            <w:r>
              <w:rPr>
                <w:rFonts w:hint="eastAsia" w:ascii="宋体" w:hAnsi="宋体" w:cs="宋体"/>
                <w:color w:val="auto"/>
                <w:szCs w:val="21"/>
                <w:highlight w:val="none"/>
                <w:lang w:eastAsia="zh-CN"/>
              </w:rPr>
              <w:t>从中国扬子集团（http://www.yangzigroup.cn/）网站下载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招标公告发布时间</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eastAsia="zh-CN"/>
              </w:rPr>
              <w:t>2025年8月</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投标文件递交的截止时间</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11</w:t>
            </w:r>
            <w:r>
              <w:rPr>
                <w:rFonts w:hint="eastAsia" w:ascii="宋体" w:hAnsi="宋体" w:eastAsia="宋体" w:cs="宋体"/>
                <w:color w:val="auto"/>
                <w:szCs w:val="21"/>
                <w:highlight w:val="none"/>
                <w:lang w:val="en-US" w:eastAsia="zh-CN"/>
              </w:rPr>
              <w:t>日</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lang w:val="en-US" w:eastAsia="zh-CN"/>
              </w:rPr>
              <w:t>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开标时间</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2025年</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月</w:t>
            </w:r>
            <w:r>
              <w:rPr>
                <w:rFonts w:hint="eastAsia" w:ascii="宋体" w:hAnsi="宋体" w:cs="宋体"/>
                <w:color w:val="auto"/>
                <w:highlight w:val="none"/>
                <w:lang w:val="en-US" w:eastAsia="zh-CN"/>
              </w:rPr>
              <w:t>11</w:t>
            </w:r>
            <w:r>
              <w:rPr>
                <w:rFonts w:hint="eastAsia" w:ascii="宋体" w:hAnsi="宋体" w:eastAsia="宋体" w:cs="宋体"/>
                <w:color w:val="auto"/>
                <w:highlight w:val="none"/>
                <w:lang w:val="en-US" w:eastAsia="zh-CN"/>
              </w:rPr>
              <w:t>日15时00分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开标地点</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滁州市城投工程咨询管理有限公司六楼603会议室（滁州市龙蟠大道109号房产商务大厦）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招标文件</w:t>
            </w:r>
            <w:r>
              <w:rPr>
                <w:rFonts w:hint="eastAsia" w:ascii="宋体" w:hAnsi="宋体" w:cs="宋体"/>
                <w:color w:val="auto"/>
                <w:sz w:val="21"/>
                <w:szCs w:val="21"/>
                <w:highlight w:val="none"/>
                <w:lang w:val="en-US" w:eastAsia="zh-CN"/>
              </w:rPr>
              <w:t>售价</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中国扬子集团（http://www.yangzigroup.cn/）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rPr>
              <w:t>投标保证金收取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保证金收取</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rPr>
              <w:t>不要求投标人提交投标保证金。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招标人名称</w:t>
            </w:r>
          </w:p>
        </w:tc>
        <w:tc>
          <w:tcPr>
            <w:tcW w:w="7997" w:type="dxa"/>
            <w:noWrap w:val="0"/>
            <w:vAlign w:val="center"/>
          </w:tcPr>
          <w:p>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安徽扬子投资发展有限公司</w:t>
            </w:r>
            <w:r>
              <w:rPr>
                <w:rFonts w:hint="eastAsia" w:ascii="宋体" w:hAnsi="宋体" w:eastAsia="宋体" w:cs="宋体"/>
                <w:color w:val="auto"/>
                <w:kern w:val="0"/>
                <w:sz w:val="21"/>
                <w:szCs w:val="21"/>
                <w:highlight w:val="none"/>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招标人地址</w:t>
            </w:r>
          </w:p>
        </w:tc>
        <w:tc>
          <w:tcPr>
            <w:tcW w:w="7997" w:type="dxa"/>
            <w:noWrap w:val="0"/>
            <w:vAlign w:val="center"/>
          </w:tcPr>
          <w:p>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滁州市醉翁路与中都大道交叉口西南侧城投大厦</w:t>
            </w: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en-US" w:eastAsia="zh-CN"/>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招标人联系人</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朱靖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招标人电话</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18255073362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招标代理机构名称</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滁州市城投工程咨询管理有限公司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招标代理机构地址</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rPr>
              <w:t>滁州市龙蟠大道109号房产大厦6楼</w:t>
            </w:r>
            <w:r>
              <w:rPr>
                <w:rFonts w:hint="eastAsia" w:ascii="宋体" w:hAnsi="宋体" w:eastAsia="宋体" w:cs="宋体"/>
                <w:color w:val="auto"/>
                <w:sz w:val="21"/>
                <w:szCs w:val="21"/>
                <w:highlight w:val="none"/>
                <w:lang w:val="en-US" w:eastAsia="zh-CN"/>
              </w:rPr>
              <w:t>605室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    联系人</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周晓培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代理机构电话</w:t>
            </w:r>
          </w:p>
        </w:tc>
        <w:tc>
          <w:tcPr>
            <w:tcW w:w="7997" w:type="dxa"/>
            <w:noWrap w:val="0"/>
            <w:vAlign w:val="center"/>
          </w:tcPr>
          <w:p>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0550-3519512</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18255055896</w:t>
            </w:r>
          </w:p>
        </w:tc>
      </w:tr>
    </w:tbl>
    <w:p>
      <w:pPr>
        <w:jc w:val="left"/>
        <w:rPr>
          <w:color w:val="auto"/>
          <w:highlight w:val="none"/>
        </w:rPr>
      </w:pPr>
    </w:p>
    <w:p>
      <w:pPr>
        <w:pStyle w:val="44"/>
        <w:spacing w:beforeLines="50" w:afterLines="50" w:line="440" w:lineRule="exact"/>
        <w:rPr>
          <w:bCs/>
          <w:color w:val="auto"/>
          <w:szCs w:val="32"/>
          <w:highlight w:val="none"/>
        </w:rPr>
      </w:pPr>
      <w:bookmarkStart w:id="32" w:name="_Toc78803321"/>
      <w:r>
        <w:rPr>
          <w:rFonts w:hint="eastAsia"/>
          <w:bCs/>
          <w:color w:val="auto"/>
          <w:szCs w:val="32"/>
          <w:highlight w:val="none"/>
        </w:rPr>
        <w:br w:type="page"/>
      </w:r>
      <w:r>
        <w:rPr>
          <w:rFonts w:hint="eastAsia"/>
          <w:bCs/>
          <w:color w:val="auto"/>
          <w:szCs w:val="32"/>
          <w:highlight w:val="none"/>
        </w:rPr>
        <w:t>第</w:t>
      </w:r>
      <w:r>
        <w:rPr>
          <w:rFonts w:hint="eastAsia"/>
          <w:bCs/>
          <w:color w:val="auto"/>
          <w:szCs w:val="32"/>
          <w:highlight w:val="none"/>
          <w:lang w:val="en-US" w:eastAsia="zh-CN"/>
        </w:rPr>
        <w:t>二</w:t>
      </w:r>
      <w:r>
        <w:rPr>
          <w:rFonts w:hint="eastAsia"/>
          <w:bCs/>
          <w:color w:val="auto"/>
          <w:szCs w:val="32"/>
          <w:highlight w:val="none"/>
        </w:rPr>
        <w:t>章  投标人须知</w:t>
      </w:r>
      <w:bookmarkEnd w:id="20"/>
      <w:bookmarkEnd w:id="21"/>
      <w:bookmarkEnd w:id="22"/>
      <w:bookmarkEnd w:id="23"/>
      <w:bookmarkEnd w:id="24"/>
      <w:bookmarkEnd w:id="25"/>
      <w:bookmarkEnd w:id="26"/>
      <w:bookmarkEnd w:id="27"/>
      <w:bookmarkEnd w:id="28"/>
      <w:bookmarkEnd w:id="29"/>
      <w:bookmarkEnd w:id="30"/>
      <w:bookmarkEnd w:id="31"/>
      <w:bookmarkEnd w:id="32"/>
    </w:p>
    <w:p>
      <w:pPr>
        <w:spacing w:beforeLines="50" w:afterLines="50" w:line="440" w:lineRule="exact"/>
        <w:jc w:val="center"/>
        <w:rPr>
          <w:b/>
          <w:bCs/>
          <w:color w:val="auto"/>
          <w:sz w:val="28"/>
          <w:szCs w:val="28"/>
          <w:highlight w:val="none"/>
        </w:rPr>
      </w:pPr>
      <w:bookmarkStart w:id="33" w:name="_Toc152045528"/>
      <w:bookmarkStart w:id="34" w:name="_Toc35424884"/>
      <w:bookmarkStart w:id="35" w:name="_Toc246996917"/>
      <w:bookmarkStart w:id="36" w:name="_Toc144974496"/>
      <w:bookmarkStart w:id="37" w:name="_Toc35425051"/>
      <w:bookmarkStart w:id="38" w:name="_Toc152042304"/>
      <w:bookmarkStart w:id="39" w:name="_Toc506107268"/>
      <w:bookmarkStart w:id="40" w:name="_Toc246996174"/>
      <w:bookmarkStart w:id="41" w:name="_Toc324404814"/>
      <w:bookmarkStart w:id="42" w:name="_Toc179632545"/>
      <w:bookmarkStart w:id="43" w:name="_Toc15058845"/>
      <w:bookmarkStart w:id="44" w:name="_Toc247085688"/>
      <w:r>
        <w:rPr>
          <w:rFonts w:hint="eastAsia"/>
          <w:b/>
          <w:bCs/>
          <w:color w:val="auto"/>
          <w:sz w:val="28"/>
          <w:szCs w:val="28"/>
          <w:highlight w:val="none"/>
        </w:rPr>
        <w:t>投标人须知前附表</w:t>
      </w:r>
      <w:bookmarkEnd w:id="33"/>
      <w:bookmarkEnd w:id="34"/>
      <w:bookmarkEnd w:id="35"/>
      <w:bookmarkEnd w:id="36"/>
      <w:bookmarkEnd w:id="37"/>
      <w:bookmarkEnd w:id="38"/>
      <w:bookmarkEnd w:id="39"/>
      <w:bookmarkEnd w:id="40"/>
      <w:bookmarkEnd w:id="41"/>
      <w:bookmarkEnd w:id="42"/>
      <w:bookmarkEnd w:id="43"/>
      <w:bookmarkEnd w:id="44"/>
    </w:p>
    <w:tbl>
      <w:tblPr>
        <w:tblStyle w:val="47"/>
        <w:tblW w:w="10328" w:type="dxa"/>
        <w:jc w:val="center"/>
        <w:tblLayout w:type="fixed"/>
        <w:tblCellMar>
          <w:top w:w="0" w:type="dxa"/>
          <w:left w:w="108" w:type="dxa"/>
          <w:bottom w:w="0" w:type="dxa"/>
          <w:right w:w="108" w:type="dxa"/>
        </w:tblCellMar>
      </w:tblPr>
      <w:tblGrid>
        <w:gridCol w:w="921"/>
        <w:gridCol w:w="857"/>
        <w:gridCol w:w="1299"/>
        <w:gridCol w:w="7251"/>
      </w:tblGrid>
      <w:tr>
        <w:tblPrEx>
          <w:tblCellMar>
            <w:top w:w="0" w:type="dxa"/>
            <w:left w:w="108" w:type="dxa"/>
            <w:bottom w:w="0" w:type="dxa"/>
            <w:right w:w="108" w:type="dxa"/>
          </w:tblCellMar>
        </w:tblPrEx>
        <w:trPr>
          <w:trHeight w:val="52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b/>
                <w:color w:val="auto"/>
                <w:szCs w:val="21"/>
                <w:highlight w:val="none"/>
              </w:rPr>
            </w:pPr>
            <w:bookmarkStart w:id="45" w:name="_Toc247085689"/>
            <w:bookmarkStart w:id="46" w:name="_Toc246996175"/>
            <w:bookmarkStart w:id="47" w:name="_Toc152042305"/>
            <w:bookmarkStart w:id="48" w:name="_Toc152045529"/>
            <w:bookmarkStart w:id="49" w:name="_Toc246996918"/>
            <w:bookmarkStart w:id="50" w:name="_Toc144974497"/>
            <w:bookmarkStart w:id="51" w:name="_Toc506107269"/>
            <w:bookmarkStart w:id="52" w:name="_Toc179632546"/>
            <w:bookmarkStart w:id="53" w:name="_Toc324404815"/>
            <w:r>
              <w:rPr>
                <w:rFonts w:hint="eastAsia" w:ascii="宋体" w:hAnsi="宋体" w:cs="宋体"/>
                <w:b/>
                <w:color w:val="auto"/>
                <w:szCs w:val="21"/>
                <w:highlight w:val="none"/>
              </w:rPr>
              <w:t>序号</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b/>
                <w:color w:val="auto"/>
                <w:szCs w:val="21"/>
                <w:highlight w:val="none"/>
              </w:rPr>
            </w:pPr>
            <w:r>
              <w:rPr>
                <w:rFonts w:hint="eastAsia" w:ascii="宋体" w:hAnsi="宋体" w:cs="宋体"/>
                <w:b/>
                <w:color w:val="auto"/>
                <w:szCs w:val="21"/>
                <w:highlight w:val="none"/>
              </w:rPr>
              <w:t>条  款  名  称</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b/>
                <w:color w:val="auto"/>
                <w:szCs w:val="21"/>
                <w:highlight w:val="none"/>
              </w:rPr>
            </w:pPr>
            <w:r>
              <w:rPr>
                <w:rFonts w:hint="eastAsia" w:ascii="宋体" w:hAnsi="宋体" w:cs="宋体"/>
                <w:b/>
                <w:color w:val="auto"/>
                <w:szCs w:val="21"/>
                <w:highlight w:val="none"/>
              </w:rPr>
              <w:t>编  列  内  容</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招标人</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94"/>
              <w:keepNext w:val="0"/>
              <w:keepLines w:val="0"/>
              <w:pageBreakBefore w:val="0"/>
              <w:kinsoku/>
              <w:wordWrap/>
              <w:overflowPunct/>
              <w:autoSpaceDN/>
              <w:bidi w:val="0"/>
              <w:adjustRightInd w:val="0"/>
              <w:snapToGrid w:val="0"/>
              <w:spacing w:line="380" w:lineRule="exact"/>
              <w:jc w:val="left"/>
              <w:textAlignment w:val="auto"/>
              <w:rPr>
                <w:rFonts w:hint="eastAsia" w:eastAsia="宋体"/>
                <w:color w:val="auto"/>
                <w:kern w:val="2"/>
                <w:sz w:val="21"/>
                <w:szCs w:val="21"/>
                <w:highlight w:val="none"/>
                <w:lang w:eastAsia="zh-CN"/>
              </w:rPr>
            </w:pPr>
            <w:r>
              <w:rPr>
                <w:rFonts w:hint="eastAsia" w:ascii="宋体" w:hAnsi="宋体" w:cs="宋体"/>
                <w:color w:val="auto"/>
                <w:sz w:val="21"/>
                <w:szCs w:val="21"/>
                <w:highlight w:val="none"/>
              </w:rPr>
              <w:t>见招标公告</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2</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招标代理机构</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textAlignment w:val="auto"/>
              <w:rPr>
                <w:rFonts w:hint="default" w:ascii="宋体" w:hAnsi="宋体" w:eastAsia="宋体" w:cs="宋体"/>
                <w:color w:val="auto"/>
                <w:szCs w:val="21"/>
                <w:highlight w:val="none"/>
                <w:lang w:val="en-US" w:eastAsia="zh-CN"/>
              </w:rPr>
            </w:pPr>
            <w:r>
              <w:rPr>
                <w:rFonts w:hint="eastAsia" w:ascii="宋体" w:hAnsi="宋体" w:cs="宋体"/>
                <w:color w:val="auto"/>
                <w:sz w:val="21"/>
                <w:szCs w:val="21"/>
                <w:highlight w:val="none"/>
              </w:rPr>
              <w:t>见招标公告</w:t>
            </w:r>
          </w:p>
        </w:tc>
      </w:tr>
      <w:tr>
        <w:tblPrEx>
          <w:tblCellMar>
            <w:top w:w="0" w:type="dxa"/>
            <w:left w:w="108" w:type="dxa"/>
            <w:bottom w:w="0" w:type="dxa"/>
            <w:right w:w="108" w:type="dxa"/>
          </w:tblCellMar>
        </w:tblPrEx>
        <w:trPr>
          <w:trHeight w:val="52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3</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项目名称</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textAlignment w:val="auto"/>
              <w:rPr>
                <w:rFonts w:hint="eastAsia" w:ascii="宋体" w:hAnsi="宋体" w:eastAsia="宋体" w:cs="宋体"/>
                <w:color w:val="auto"/>
                <w:szCs w:val="21"/>
                <w:highlight w:val="none"/>
                <w:lang w:eastAsia="zh-CN"/>
              </w:rPr>
            </w:pPr>
            <w:r>
              <w:rPr>
                <w:rFonts w:hint="eastAsia" w:ascii="宋体" w:hAnsi="宋体" w:cs="宋体"/>
                <w:color w:val="auto"/>
                <w:sz w:val="21"/>
                <w:szCs w:val="21"/>
                <w:highlight w:val="none"/>
              </w:rPr>
              <w:t>见招标公告</w:t>
            </w:r>
          </w:p>
        </w:tc>
      </w:tr>
      <w:tr>
        <w:tblPrEx>
          <w:tblCellMar>
            <w:top w:w="0" w:type="dxa"/>
            <w:left w:w="108" w:type="dxa"/>
            <w:bottom w:w="0" w:type="dxa"/>
            <w:right w:w="108" w:type="dxa"/>
          </w:tblCellMar>
        </w:tblPrEx>
        <w:trPr>
          <w:trHeight w:val="50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4</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建设地点</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textAlignment w:val="auto"/>
              <w:rPr>
                <w:rFonts w:ascii="宋体" w:hAnsi="宋体" w:cs="宋体"/>
                <w:color w:val="auto"/>
                <w:szCs w:val="21"/>
                <w:highlight w:val="none"/>
              </w:rPr>
            </w:pPr>
            <w:r>
              <w:rPr>
                <w:rFonts w:hint="eastAsia" w:ascii="宋体" w:hAnsi="宋体" w:cs="宋体"/>
                <w:color w:val="auto"/>
                <w:sz w:val="21"/>
                <w:szCs w:val="21"/>
                <w:highlight w:val="none"/>
              </w:rPr>
              <w:t>见招标公告</w:t>
            </w:r>
          </w:p>
        </w:tc>
      </w:tr>
      <w:tr>
        <w:tblPrEx>
          <w:tblCellMar>
            <w:top w:w="0" w:type="dxa"/>
            <w:left w:w="108" w:type="dxa"/>
            <w:bottom w:w="0" w:type="dxa"/>
            <w:right w:w="108" w:type="dxa"/>
          </w:tblCellMar>
        </w:tblPrEx>
        <w:trPr>
          <w:trHeight w:val="555"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5</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jc w:val="center"/>
              <w:textAlignment w:val="auto"/>
              <w:rPr>
                <w:rFonts w:ascii="宋体" w:hAnsi="宋体" w:cs="宋体"/>
                <w:color w:val="auto"/>
                <w:szCs w:val="21"/>
                <w:highlight w:val="none"/>
              </w:rPr>
            </w:pPr>
            <w:r>
              <w:rPr>
                <w:rFonts w:hint="eastAsia" w:ascii="宋体" w:hAnsi="宋体" w:cs="宋体"/>
                <w:color w:val="auto"/>
                <w:sz w:val="21"/>
                <w:szCs w:val="21"/>
                <w:highlight w:val="none"/>
              </w:rPr>
              <w:t>资金落实情况</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textAlignment w:val="auto"/>
              <w:rPr>
                <w:rFonts w:ascii="宋体" w:hAnsi="宋体" w:cs="宋体"/>
                <w:color w:val="auto"/>
                <w:szCs w:val="21"/>
                <w:highlight w:val="none"/>
              </w:rPr>
            </w:pPr>
            <w:r>
              <w:rPr>
                <w:rFonts w:hint="eastAsia" w:ascii="宋体" w:hAnsi="宋体" w:cs="宋体"/>
                <w:color w:val="auto"/>
                <w:sz w:val="21"/>
                <w:szCs w:val="21"/>
                <w:highlight w:val="none"/>
                <w:lang w:val="en-US" w:eastAsia="zh-CN"/>
              </w:rPr>
              <w:t>已落实</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6</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招标范围</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color w:val="auto"/>
                <w:szCs w:val="21"/>
                <w:highlight w:val="none"/>
              </w:rPr>
              <w:t>见招标公告</w:t>
            </w:r>
          </w:p>
        </w:tc>
      </w:tr>
      <w:tr>
        <w:tblPrEx>
          <w:tblCellMar>
            <w:top w:w="0" w:type="dxa"/>
            <w:left w:w="108" w:type="dxa"/>
            <w:bottom w:w="0" w:type="dxa"/>
            <w:right w:w="108" w:type="dxa"/>
          </w:tblCellMar>
        </w:tblPrEx>
        <w:trPr>
          <w:trHeight w:val="496"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7</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评标办法</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94"/>
              <w:keepNext w:val="0"/>
              <w:keepLines w:val="0"/>
              <w:pageBreakBefore w:val="0"/>
              <w:kinsoku/>
              <w:wordWrap/>
              <w:overflowPunct/>
              <w:autoSpaceDN/>
              <w:bidi w:val="0"/>
              <w:spacing w:line="380" w:lineRule="exact"/>
              <w:textAlignment w:val="auto"/>
              <w:rPr>
                <w:rFonts w:ascii="宋体" w:hAnsi="宋体" w:cs="宋体"/>
                <w:color w:val="auto"/>
                <w:highlight w:val="none"/>
              </w:rPr>
            </w:pPr>
            <w:r>
              <w:rPr>
                <w:rFonts w:hint="eastAsia" w:ascii="宋体" w:hAnsi="宋体" w:cs="宋体"/>
                <w:color w:val="auto"/>
                <w:sz w:val="21"/>
                <w:szCs w:val="21"/>
                <w:highlight w:val="none"/>
              </w:rPr>
              <w:t>见招标公告</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8</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ascii="宋体" w:hAnsi="宋体" w:cs="宋体"/>
                <w:color w:val="auto"/>
                <w:szCs w:val="21"/>
                <w:highlight w:val="none"/>
              </w:rPr>
            </w:pPr>
            <w:r>
              <w:rPr>
                <w:rFonts w:hint="eastAsia" w:ascii="宋体" w:hAnsi="宋体" w:eastAsia="宋体" w:cs="宋体"/>
                <w:color w:val="auto"/>
                <w:sz w:val="21"/>
                <w:szCs w:val="21"/>
                <w:highlight w:val="none"/>
              </w:rPr>
              <w:t>计划工期</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adjustRightInd w:val="0"/>
              <w:snapToGrid w:val="0"/>
              <w:spacing w:line="38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计划工</w:t>
            </w:r>
            <w:r>
              <w:rPr>
                <w:rFonts w:hint="eastAsia" w:ascii="宋体" w:hAnsi="宋体" w:eastAsia="宋体" w:cs="宋体"/>
                <w:b/>
                <w:color w:val="auto"/>
                <w:sz w:val="21"/>
                <w:szCs w:val="21"/>
                <w:highlight w:val="none"/>
                <w:lang w:eastAsia="zh-CN"/>
              </w:rPr>
              <w:t>期：</w:t>
            </w:r>
            <w:r>
              <w:rPr>
                <w:rFonts w:hint="eastAsia" w:ascii="宋体" w:hAnsi="宋体" w:eastAsia="宋体" w:cs="宋体"/>
                <w:b/>
                <w:color w:val="auto"/>
                <w:sz w:val="21"/>
                <w:szCs w:val="21"/>
                <w:highlight w:val="none"/>
                <w:lang w:val="en-US" w:eastAsia="zh-CN"/>
              </w:rPr>
              <w:t>不高于</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cs="宋体"/>
                <w:b/>
                <w:color w:val="auto"/>
                <w:sz w:val="21"/>
                <w:szCs w:val="21"/>
                <w:highlight w:val="none"/>
                <w:u w:val="single"/>
                <w:lang w:val="en-US" w:eastAsia="zh-CN"/>
              </w:rPr>
              <w:t>15</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lang w:val="en-US" w:eastAsia="zh-CN"/>
              </w:rPr>
              <w:t>个日历天</w:t>
            </w:r>
            <w:r>
              <w:rPr>
                <w:rFonts w:hint="eastAsia" w:ascii="宋体" w:hAnsi="宋体" w:eastAsia="宋体" w:cs="宋体"/>
                <w:b/>
                <w:color w:val="auto"/>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计划开工日期：双方签订合同时明确</w:t>
            </w:r>
            <w:r>
              <w:rPr>
                <w:rFonts w:hint="eastAsia" w:ascii="宋体" w:hAnsi="宋体" w:cs="宋体"/>
                <w:color w:val="auto"/>
                <w:sz w:val="21"/>
                <w:szCs w:val="21"/>
                <w:highlight w:val="none"/>
                <w:lang w:val="en-US" w:eastAsia="zh-CN"/>
              </w:rPr>
              <w:t xml:space="preserve"> </w:t>
            </w:r>
          </w:p>
          <w:p>
            <w:pPr>
              <w:keepNext w:val="0"/>
              <w:keepLines w:val="0"/>
              <w:pageBreakBefore w:val="0"/>
              <w:kinsoku/>
              <w:wordWrap/>
              <w:overflowPunct/>
              <w:topLinePunct w:val="0"/>
              <w:autoSpaceDE/>
              <w:autoSpaceDN/>
              <w:bidi w:val="0"/>
              <w:adjustRightInd w:val="0"/>
              <w:snapToGrid w:val="0"/>
              <w:spacing w:line="380" w:lineRule="exac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计划竣工日期：双方签订合同时明确</w:t>
            </w:r>
          </w:p>
          <w:p>
            <w:pPr>
              <w:keepNext w:val="0"/>
              <w:keepLines w:val="0"/>
              <w:pageBreakBefore w:val="0"/>
              <w:kinsoku/>
              <w:wordWrap/>
              <w:overflowPunct/>
              <w:autoSpaceDE/>
              <w:autoSpaceDN/>
              <w:bidi w:val="0"/>
              <w:adjustRightInd w:val="0"/>
              <w:snapToGrid w:val="0"/>
              <w:spacing w:line="380" w:lineRule="exact"/>
              <w:textAlignment w:val="auto"/>
              <w:rPr>
                <w:rFonts w:ascii="宋体" w:hAnsi="宋体" w:cs="宋体"/>
                <w:color w:val="auto"/>
                <w:szCs w:val="21"/>
                <w:highlight w:val="none"/>
              </w:rPr>
            </w:pPr>
            <w:r>
              <w:rPr>
                <w:rFonts w:hint="eastAsia" w:ascii="宋体" w:hAnsi="宋体" w:cs="宋体"/>
                <w:color w:val="auto"/>
                <w:sz w:val="21"/>
                <w:szCs w:val="21"/>
                <w:highlight w:val="none"/>
              </w:rPr>
              <w:t>注：投标人自报的承诺工期为考核标准</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工期每延误一天，处以</w:t>
            </w:r>
            <w:r>
              <w:rPr>
                <w:rFonts w:hint="eastAsia" w:ascii="宋体" w:hAnsi="宋体" w:cs="宋体"/>
                <w:color w:val="auto"/>
                <w:sz w:val="21"/>
                <w:szCs w:val="21"/>
                <w:highlight w:val="none"/>
                <w:u w:val="single"/>
                <w:lang w:val="en-US" w:eastAsia="zh-CN"/>
              </w:rPr>
              <w:t xml:space="preserve"> 1000 </w:t>
            </w:r>
            <w:r>
              <w:rPr>
                <w:rFonts w:hint="eastAsia" w:ascii="宋体" w:hAnsi="宋体" w:cs="宋体"/>
                <w:color w:val="auto"/>
                <w:sz w:val="21"/>
                <w:szCs w:val="21"/>
                <w:highlight w:val="none"/>
              </w:rPr>
              <w:t xml:space="preserve">元违约金，工期提前不奖励。 </w:t>
            </w:r>
            <w:r>
              <w:rPr>
                <w:rFonts w:hint="eastAsia" w:ascii="Times New Roman" w:hAnsi="Times New Roman" w:eastAsia="宋体" w:cs="Times New Roman"/>
                <w:color w:val="auto"/>
                <w:highlight w:val="none"/>
                <w:lang w:val="en-US" w:eastAsia="zh-CN"/>
              </w:rPr>
              <w:t xml:space="preserve">  </w:t>
            </w:r>
            <w:r>
              <w:rPr>
                <w:rFonts w:hint="eastAsia" w:ascii="宋体" w:hAnsi="宋体" w:eastAsia="宋体" w:cs="宋体"/>
                <w:color w:val="auto"/>
                <w:sz w:val="21"/>
                <w:szCs w:val="21"/>
                <w:highlight w:val="none"/>
              </w:rPr>
              <w:t xml:space="preserve">       </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9</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质量要求</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kern w:val="0"/>
                <w:szCs w:val="21"/>
                <w:highlight w:val="none"/>
                <w:lang w:eastAsia="zh-CN"/>
              </w:rPr>
              <w:t>根据建筑设计防火规范要求，建筑的钢梁及屋顶承重构件均刷防火涂料，各部件均达到二级耐火极限的要求，钢梁1.5小时，屋顶承重构件1.0小时，屋面板1.0小时。选用的防火产品、材料规格防火涂料厂家需要提供耐火极限检测报告，满足消防验收。</w:t>
            </w:r>
            <w:r>
              <w:rPr>
                <w:rFonts w:hint="eastAsia" w:ascii="宋体" w:hAnsi="宋体" w:cs="宋体"/>
                <w:color w:val="auto"/>
                <w:szCs w:val="21"/>
                <w:highlight w:val="none"/>
              </w:rPr>
              <w:t xml:space="preserve"> </w:t>
            </w:r>
          </w:p>
        </w:tc>
      </w:tr>
      <w:tr>
        <w:tblPrEx>
          <w:tblCellMar>
            <w:top w:w="0" w:type="dxa"/>
            <w:left w:w="108" w:type="dxa"/>
            <w:bottom w:w="0" w:type="dxa"/>
            <w:right w:w="108" w:type="dxa"/>
          </w:tblCellMar>
        </w:tblPrEx>
        <w:trPr>
          <w:trHeight w:val="90" w:hRule="atLeast"/>
          <w:jc w:val="center"/>
        </w:trPr>
        <w:tc>
          <w:tcPr>
            <w:tcW w:w="921"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10</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投标人资质条件、能力和信誉</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2"/>
              <w:keepNext w:val="0"/>
              <w:keepLines w:val="0"/>
              <w:pageBreakBefore w:val="0"/>
              <w:kinsoku/>
              <w:wordWrap/>
              <w:overflowPunct/>
              <w:autoSpaceDN/>
              <w:bidi w:val="0"/>
              <w:spacing w:line="380" w:lineRule="exact"/>
              <w:ind w:left="0" w:leftChars="0" w:firstLine="0" w:firstLineChars="0"/>
              <w:jc w:val="left"/>
              <w:textAlignment w:val="auto"/>
              <w:rPr>
                <w:rFonts w:hAnsi="宋体" w:cs="宋体"/>
                <w:color w:val="auto"/>
                <w:szCs w:val="21"/>
                <w:highlight w:val="none"/>
                <w:u w:val="single"/>
              </w:rPr>
            </w:pPr>
            <w:r>
              <w:rPr>
                <w:rFonts w:hint="eastAsia" w:hAnsi="宋体" w:cs="宋体"/>
                <w:color w:val="auto"/>
                <w:szCs w:val="21"/>
                <w:highlight w:val="none"/>
                <w:u w:val="single"/>
              </w:rPr>
              <w:t>见招标公告信息</w:t>
            </w:r>
          </w:p>
        </w:tc>
      </w:tr>
      <w:tr>
        <w:tblPrEx>
          <w:tblCellMar>
            <w:top w:w="0" w:type="dxa"/>
            <w:left w:w="108" w:type="dxa"/>
            <w:bottom w:w="0" w:type="dxa"/>
            <w:right w:w="108" w:type="dxa"/>
          </w:tblCellMar>
        </w:tblPrEx>
        <w:trPr>
          <w:trHeight w:val="575" w:hRule="atLeast"/>
          <w:jc w:val="center"/>
        </w:trPr>
        <w:tc>
          <w:tcPr>
            <w:tcW w:w="921"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招标文件发布时间：</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见招标公告信息</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11</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pacing w:val="-4"/>
                <w:kern w:val="0"/>
                <w:szCs w:val="21"/>
                <w:highlight w:val="none"/>
              </w:rPr>
            </w:pPr>
            <w:r>
              <w:rPr>
                <w:rFonts w:hint="eastAsia" w:ascii="宋体" w:hAnsi="宋体" w:cs="宋体"/>
                <w:color w:val="auto"/>
                <w:spacing w:val="-4"/>
                <w:kern w:val="0"/>
                <w:szCs w:val="21"/>
                <w:highlight w:val="none"/>
              </w:rPr>
              <w:t>踏勘现场</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19"/>
              <w:keepNext w:val="0"/>
              <w:keepLines w:val="0"/>
              <w:pageBreakBefore w:val="0"/>
              <w:kinsoku/>
              <w:wordWrap/>
              <w:overflowPunct/>
              <w:topLinePunct/>
              <w:autoSpaceDN/>
              <w:bidi w:val="0"/>
              <w:spacing w:line="380" w:lineRule="exact"/>
              <w:textAlignment w:val="auto"/>
              <w:rPr>
                <w:rFonts w:hAnsi="宋体" w:cs="宋体"/>
                <w:color w:val="auto"/>
                <w:spacing w:val="-4"/>
                <w:kern w:val="0"/>
                <w:sz w:val="21"/>
                <w:szCs w:val="21"/>
                <w:highlight w:val="none"/>
              </w:rPr>
            </w:pPr>
            <w:r>
              <w:rPr>
                <w:rFonts w:hint="eastAsia" w:hAnsi="宋体" w:cs="宋体"/>
                <w:color w:val="auto"/>
                <w:sz w:val="21"/>
                <w:szCs w:val="21"/>
                <w:highlight w:val="none"/>
              </w:rPr>
              <w:t>☑</w:t>
            </w:r>
            <w:r>
              <w:rPr>
                <w:rFonts w:hint="eastAsia" w:hAnsi="宋体" w:cs="宋体"/>
                <w:color w:val="auto"/>
                <w:spacing w:val="-4"/>
                <w:kern w:val="0"/>
                <w:sz w:val="21"/>
                <w:szCs w:val="21"/>
                <w:highlight w:val="none"/>
              </w:rPr>
              <w:t>不组织，投标人自行组织踏勘现场</w:t>
            </w:r>
            <w:r>
              <w:rPr>
                <w:rFonts w:hint="eastAsia" w:hAnsi="宋体" w:cs="宋体"/>
                <w:color w:val="auto"/>
                <w:sz w:val="21"/>
                <w:szCs w:val="21"/>
                <w:highlight w:val="none"/>
              </w:rPr>
              <w:t>；□组织</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12</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pacing w:val="-4"/>
                <w:kern w:val="0"/>
                <w:szCs w:val="21"/>
                <w:highlight w:val="none"/>
              </w:rPr>
            </w:pPr>
            <w:r>
              <w:rPr>
                <w:rFonts w:hint="eastAsia" w:ascii="宋体" w:hAnsi="宋体" w:cs="宋体"/>
                <w:color w:val="auto"/>
                <w:spacing w:val="-4"/>
                <w:kern w:val="0"/>
                <w:szCs w:val="21"/>
                <w:highlight w:val="none"/>
              </w:rPr>
              <w:t>投标预备会</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19"/>
              <w:keepNext w:val="0"/>
              <w:keepLines w:val="0"/>
              <w:pageBreakBefore w:val="0"/>
              <w:kinsoku/>
              <w:wordWrap/>
              <w:overflowPunct/>
              <w:topLinePunct/>
              <w:autoSpaceDN/>
              <w:bidi w:val="0"/>
              <w:spacing w:line="380" w:lineRule="exact"/>
              <w:textAlignment w:val="auto"/>
              <w:rPr>
                <w:rFonts w:hAnsi="宋体" w:cs="宋体"/>
                <w:color w:val="auto"/>
                <w:spacing w:val="-4"/>
                <w:kern w:val="0"/>
                <w:sz w:val="21"/>
                <w:szCs w:val="21"/>
                <w:highlight w:val="none"/>
              </w:rPr>
            </w:pPr>
            <w:r>
              <w:rPr>
                <w:rFonts w:hint="eastAsia" w:hAnsi="宋体" w:cs="宋体"/>
                <w:color w:val="auto"/>
                <w:sz w:val="21"/>
                <w:szCs w:val="21"/>
                <w:highlight w:val="none"/>
              </w:rPr>
              <w:t>☑</w:t>
            </w:r>
            <w:r>
              <w:rPr>
                <w:rFonts w:hint="eastAsia" w:hAnsi="宋体" w:cs="宋体"/>
                <w:color w:val="auto"/>
                <w:spacing w:val="-4"/>
                <w:kern w:val="0"/>
                <w:sz w:val="21"/>
                <w:szCs w:val="21"/>
                <w:highlight w:val="none"/>
              </w:rPr>
              <w:t>不召开</w:t>
            </w:r>
            <w:r>
              <w:rPr>
                <w:rFonts w:hint="eastAsia" w:hAnsi="宋体" w:cs="宋体"/>
                <w:color w:val="auto"/>
                <w:sz w:val="21"/>
                <w:szCs w:val="21"/>
                <w:highlight w:val="none"/>
              </w:rPr>
              <w:t>；□召开</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13</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偏离</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19"/>
              <w:keepNext w:val="0"/>
              <w:keepLines w:val="0"/>
              <w:pageBreakBefore w:val="0"/>
              <w:kinsoku/>
              <w:wordWrap/>
              <w:overflowPunct/>
              <w:topLinePunct/>
              <w:autoSpaceDN/>
              <w:bidi w:val="0"/>
              <w:spacing w:line="380" w:lineRule="exact"/>
              <w:textAlignment w:val="auto"/>
              <w:rPr>
                <w:rFonts w:hAnsi="宋体" w:cs="宋体"/>
                <w:color w:val="auto"/>
                <w:sz w:val="21"/>
                <w:szCs w:val="21"/>
                <w:highlight w:val="none"/>
              </w:rPr>
            </w:pPr>
            <w:r>
              <w:rPr>
                <w:rFonts w:hint="eastAsia"/>
                <w:color w:val="auto"/>
                <w:highlight w:val="none"/>
              </w:rPr>
              <w:t>☑</w:t>
            </w:r>
            <w:r>
              <w:rPr>
                <w:rFonts w:hint="eastAsia" w:hAnsi="宋体" w:cs="宋体"/>
                <w:color w:val="auto"/>
                <w:sz w:val="21"/>
                <w:szCs w:val="21"/>
                <w:highlight w:val="none"/>
              </w:rPr>
              <w:t>不允许；□允许</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14</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构成招标文件的其他材料</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rPr>
              <w:t>招标澄清答疑文件等。</w:t>
            </w:r>
          </w:p>
        </w:tc>
      </w:tr>
      <w:tr>
        <w:tblPrEx>
          <w:tblCellMar>
            <w:top w:w="0" w:type="dxa"/>
            <w:left w:w="108" w:type="dxa"/>
            <w:bottom w:w="0" w:type="dxa"/>
            <w:right w:w="108" w:type="dxa"/>
          </w:tblCellMar>
        </w:tblPrEx>
        <w:trPr>
          <w:trHeight w:val="404"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投标人要求澄清招标文件的截止时间及方式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rPr>
              <w:t>同本表第13条</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ascii="宋体" w:hAnsi="宋体" w:cs="宋体"/>
                <w:color w:val="auto"/>
                <w:szCs w:val="21"/>
                <w:highlight w:val="none"/>
              </w:rPr>
            </w:pPr>
            <w:r>
              <w:rPr>
                <w:rFonts w:hint="eastAsia" w:ascii="宋体" w:hAnsi="宋体" w:eastAsia="宋体" w:cs="宋体"/>
                <w:b/>
                <w:bCs/>
                <w:color w:val="auto"/>
                <w:sz w:val="21"/>
                <w:szCs w:val="21"/>
                <w:highlight w:val="none"/>
              </w:rPr>
              <w:t>最高投标限价</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adjustRightInd w:val="0"/>
              <w:snapToGrid w:val="0"/>
              <w:spacing w:line="380" w:lineRule="exact"/>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u w:val="single"/>
              </w:rPr>
              <w:t>有</w:t>
            </w:r>
            <w:r>
              <w:rPr>
                <w:rFonts w:hint="eastAsia" w:ascii="宋体" w:hAnsi="宋体" w:eastAsia="宋体" w:cs="宋体"/>
                <w:bCs/>
                <w:color w:val="auto"/>
                <w:sz w:val="21"/>
                <w:szCs w:val="21"/>
                <w:highlight w:val="none"/>
              </w:rPr>
              <w:t>，</w:t>
            </w:r>
            <w:r>
              <w:rPr>
                <w:rFonts w:hint="eastAsia" w:ascii="宋体" w:hAnsi="宋体" w:eastAsia="宋体" w:cs="宋体"/>
                <w:color w:val="auto"/>
                <w:sz w:val="21"/>
                <w:szCs w:val="21"/>
                <w:highlight w:val="none"/>
              </w:rPr>
              <w:t>公布的最高投标限价：</w:t>
            </w:r>
            <w:r>
              <w:rPr>
                <w:rFonts w:hint="eastAsia" w:ascii="宋体" w:hAnsi="宋体" w:eastAsia="宋体" w:cs="宋体"/>
                <w:color w:val="auto"/>
                <w:sz w:val="21"/>
                <w:szCs w:val="21"/>
                <w:highlight w:val="none"/>
                <w:u w:val="single"/>
              </w:rPr>
              <w:t>1065730.08</w:t>
            </w:r>
            <w:r>
              <w:rPr>
                <w:rFonts w:hint="eastAsia" w:ascii="宋体" w:hAnsi="宋体" w:cs="宋体"/>
                <w:color w:val="auto"/>
                <w:szCs w:val="21"/>
                <w:highlight w:val="none"/>
                <w:u w:val="single"/>
                <w:lang w:val="en-US" w:eastAsia="zh-CN"/>
              </w:rPr>
              <w:t>元</w:t>
            </w:r>
            <w:r>
              <w:rPr>
                <w:rFonts w:hint="eastAsia" w:ascii="宋体" w:hAnsi="宋体" w:eastAsia="宋体" w:cs="宋体"/>
                <w:color w:val="auto"/>
                <w:sz w:val="21"/>
                <w:szCs w:val="21"/>
                <w:highlight w:val="none"/>
              </w:rPr>
              <w:t>。</w:t>
            </w:r>
          </w:p>
          <w:p>
            <w:pPr>
              <w:keepNext w:val="0"/>
              <w:keepLines w:val="0"/>
              <w:pageBreakBefore w:val="0"/>
              <w:kinsoku/>
              <w:wordWrap/>
              <w:overflowPunct/>
              <w:autoSpaceDE/>
              <w:autoSpaceDN/>
              <w:bidi w:val="0"/>
              <w:adjustRightInd w:val="0"/>
              <w:snapToGrid w:val="0"/>
              <w:spacing w:line="380" w:lineRule="exact"/>
              <w:textAlignment w:val="auto"/>
              <w:rPr>
                <w:rFonts w:hint="eastAsia" w:ascii="宋体" w:hAnsi="宋体" w:eastAsia="宋体" w:cs="宋体"/>
                <w:b/>
                <w:color w:val="auto"/>
                <w:sz w:val="21"/>
                <w:szCs w:val="21"/>
                <w:highlight w:val="none"/>
                <w:u w:val="single"/>
              </w:rPr>
            </w:pPr>
            <w:r>
              <w:rPr>
                <w:rFonts w:hint="eastAsia" w:ascii="宋体" w:hAnsi="宋体" w:eastAsia="宋体" w:cs="宋体"/>
                <w:color w:val="auto"/>
                <w:sz w:val="21"/>
                <w:szCs w:val="21"/>
                <w:highlight w:val="none"/>
              </w:rPr>
              <w:t>应当</w:t>
            </w:r>
            <w:r>
              <w:rPr>
                <w:rFonts w:hint="eastAsia" w:ascii="宋体" w:hAnsi="宋体" w:eastAsia="宋体" w:cs="宋体"/>
                <w:b/>
                <w:bCs/>
                <w:color w:val="auto"/>
                <w:sz w:val="21"/>
                <w:szCs w:val="21"/>
                <w:highlight w:val="none"/>
                <w:u w:val="single"/>
              </w:rPr>
              <w:t>包括总价、各单位工程的分部分项工程费、措施项目费、其他项目费、不可竞争性费用和税金。</w:t>
            </w:r>
          </w:p>
          <w:p>
            <w:pPr>
              <w:keepNext w:val="0"/>
              <w:keepLines w:val="0"/>
              <w:pageBreakBefore w:val="0"/>
              <w:kinsoku/>
              <w:wordWrap/>
              <w:overflowPunct/>
              <w:autoSpaceDE/>
              <w:autoSpaceDN/>
              <w:bidi w:val="0"/>
              <w:adjustRightInd w:val="0"/>
              <w:snapToGrid w:val="0"/>
              <w:spacing w:line="38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发布时间：</w:t>
            </w:r>
            <w:r>
              <w:rPr>
                <w:rFonts w:hint="eastAsia" w:ascii="宋体" w:hAnsi="宋体" w:cs="宋体"/>
                <w:color w:val="auto"/>
                <w:sz w:val="21"/>
                <w:szCs w:val="21"/>
                <w:highlight w:val="none"/>
                <w:u w:val="single"/>
                <w:lang w:val="en-US" w:eastAsia="zh-CN"/>
              </w:rPr>
              <w:t>2025年8月8日</w:t>
            </w:r>
            <w:r>
              <w:rPr>
                <w:rFonts w:hint="eastAsia" w:ascii="宋体" w:hAnsi="宋体" w:eastAsia="宋体" w:cs="宋体"/>
                <w:color w:val="auto"/>
                <w:sz w:val="21"/>
                <w:szCs w:val="21"/>
                <w:highlight w:val="none"/>
              </w:rPr>
              <w:t>。</w:t>
            </w:r>
          </w:p>
          <w:p>
            <w:pPr>
              <w:keepNext w:val="0"/>
              <w:keepLines w:val="0"/>
              <w:pageBreakBefore w:val="0"/>
              <w:widowControl/>
              <w:kinsoku/>
              <w:wordWrap w:val="0"/>
              <w:overflowPunct/>
              <w:topLinePunct w:val="0"/>
              <w:autoSpaceDE/>
              <w:autoSpaceDN/>
              <w:bidi w:val="0"/>
              <w:adjustRightInd/>
              <w:snapToGrid/>
              <w:spacing w:line="380" w:lineRule="exact"/>
              <w:jc w:val="left"/>
              <w:textAlignment w:val="auto"/>
              <w:rPr>
                <w:rFonts w:hint="eastAsia" w:ascii="宋体" w:hAnsi="宋体" w:eastAsia="宋体" w:cs="宋体"/>
                <w:b/>
                <w:color w:val="auto"/>
                <w:szCs w:val="21"/>
                <w:highlight w:val="none"/>
                <w:u w:val="single"/>
                <w:lang w:eastAsia="zh-CN"/>
              </w:rPr>
            </w:pPr>
            <w:r>
              <w:rPr>
                <w:rFonts w:hint="eastAsia" w:ascii="宋体" w:hAnsi="宋体" w:eastAsia="宋体" w:cs="宋体"/>
                <w:b/>
                <w:bCs/>
                <w:color w:val="auto"/>
                <w:sz w:val="21"/>
                <w:szCs w:val="21"/>
                <w:highlight w:val="none"/>
              </w:rPr>
              <w:t>发布媒介：</w:t>
            </w:r>
            <w:r>
              <w:rPr>
                <w:rFonts w:hint="eastAsia" w:ascii="宋体" w:hAnsi="宋体" w:cs="宋体"/>
                <w:color w:val="auto"/>
                <w:szCs w:val="21"/>
                <w:highlight w:val="none"/>
                <w:lang w:eastAsia="zh-CN"/>
              </w:rPr>
              <w:t>中国扬子集团（http://www.yangzigroup.cn/）</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17</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投标有效期</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rPr>
              <w:t>投标有效期为</w:t>
            </w:r>
            <w:r>
              <w:rPr>
                <w:rFonts w:hint="eastAsia" w:ascii="宋体" w:hAnsi="宋体" w:cs="宋体"/>
                <w:color w:val="auto"/>
                <w:szCs w:val="21"/>
                <w:highlight w:val="none"/>
                <w:u w:val="single"/>
              </w:rPr>
              <w:t>90</w:t>
            </w:r>
            <w:r>
              <w:rPr>
                <w:rFonts w:hint="eastAsia" w:ascii="宋体" w:hAnsi="宋体" w:cs="宋体"/>
                <w:color w:val="auto"/>
                <w:szCs w:val="21"/>
                <w:highlight w:val="none"/>
              </w:rPr>
              <w:t>日历天（从投标截止之日算起）。在此期限内，凡符合本招标文件要求的投标文件均保持有效。</w:t>
            </w:r>
          </w:p>
        </w:tc>
      </w:tr>
      <w:tr>
        <w:tblPrEx>
          <w:tblCellMar>
            <w:top w:w="0" w:type="dxa"/>
            <w:left w:w="108" w:type="dxa"/>
            <w:bottom w:w="0" w:type="dxa"/>
            <w:right w:w="108" w:type="dxa"/>
          </w:tblCellMar>
        </w:tblPrEx>
        <w:trPr>
          <w:trHeight w:val="52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18</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投标保证金</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rPr>
              <w:t>详见招标公告信息</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19</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签字或盖章要求</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rPr>
              <w:t>投标文件须按格式文件要求签字或盖章。否则经评委会一致认定后，按照无效投标处理。</w:t>
            </w:r>
          </w:p>
        </w:tc>
      </w:tr>
      <w:tr>
        <w:tblPrEx>
          <w:tblCellMar>
            <w:top w:w="0" w:type="dxa"/>
            <w:left w:w="108" w:type="dxa"/>
            <w:bottom w:w="0" w:type="dxa"/>
            <w:right w:w="108" w:type="dxa"/>
          </w:tblCellMar>
        </w:tblPrEx>
        <w:trPr>
          <w:trHeight w:val="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0</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投标文件份数</w:t>
            </w:r>
          </w:p>
        </w:tc>
        <w:tc>
          <w:tcPr>
            <w:tcW w:w="7251" w:type="dxa"/>
            <w:tcBorders>
              <w:top w:val="single" w:color="auto" w:sz="4" w:space="0"/>
              <w:left w:val="single" w:color="auto" w:sz="4" w:space="0"/>
              <w:bottom w:val="single" w:color="auto" w:sz="4" w:space="0"/>
              <w:right w:val="single" w:color="auto" w:sz="4" w:space="0"/>
            </w:tcBorders>
            <w:noWrap/>
            <w:vAlign w:val="center"/>
          </w:tcPr>
          <w:p>
            <w:pPr>
              <w:pStyle w:val="2"/>
              <w:keepNext w:val="0"/>
              <w:keepLines w:val="0"/>
              <w:pageBreakBefore w:val="0"/>
              <w:kinsoku/>
              <w:wordWrap/>
              <w:overflowPunct/>
              <w:autoSpaceDN/>
              <w:bidi w:val="0"/>
              <w:spacing w:line="380" w:lineRule="exact"/>
              <w:ind w:left="0" w:leftChars="0" w:firstLine="0" w:firstLineChars="0"/>
              <w:textAlignment w:val="auto"/>
              <w:rPr>
                <w:color w:val="auto"/>
                <w:highlight w:val="none"/>
              </w:rPr>
            </w:pPr>
            <w:r>
              <w:rPr>
                <w:rFonts w:hint="eastAsia" w:ascii="宋体" w:hAnsi="宋体" w:cs="宋体"/>
                <w:b/>
                <w:bCs/>
                <w:color w:val="auto"/>
                <w:kern w:val="0"/>
                <w:szCs w:val="21"/>
                <w:highlight w:val="none"/>
                <w:u w:val="single"/>
              </w:rPr>
              <w:t>份数：正本1份，副本2份；</w:t>
            </w:r>
          </w:p>
        </w:tc>
      </w:tr>
      <w:tr>
        <w:tblPrEx>
          <w:tblCellMar>
            <w:top w:w="0" w:type="dxa"/>
            <w:left w:w="108" w:type="dxa"/>
            <w:bottom w:w="0" w:type="dxa"/>
            <w:right w:w="108" w:type="dxa"/>
          </w:tblCellMar>
        </w:tblPrEx>
        <w:trPr>
          <w:trHeight w:val="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1</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color w:val="auto"/>
                <w:sz w:val="21"/>
                <w:szCs w:val="21"/>
                <w:highlight w:val="none"/>
              </w:rPr>
              <w:t>投标文件提交截止时间</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在 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8月11</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时00分（北京时间）</w:t>
            </w:r>
          </w:p>
        </w:tc>
      </w:tr>
      <w:tr>
        <w:tblPrEx>
          <w:tblCellMar>
            <w:top w:w="0" w:type="dxa"/>
            <w:left w:w="108" w:type="dxa"/>
            <w:bottom w:w="0" w:type="dxa"/>
            <w:right w:w="108" w:type="dxa"/>
          </w:tblCellMar>
        </w:tblPrEx>
        <w:trPr>
          <w:trHeight w:val="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2</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是否退还投标文件</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color="000000"/>
                <w:lang w:val="en-US" w:eastAsia="zh-CN" w:bidi="ar"/>
              </w:rPr>
              <w:t>否</w:t>
            </w:r>
          </w:p>
        </w:tc>
      </w:tr>
      <w:tr>
        <w:tblPrEx>
          <w:tblCellMar>
            <w:top w:w="0" w:type="dxa"/>
            <w:left w:w="108" w:type="dxa"/>
            <w:bottom w:w="0" w:type="dxa"/>
            <w:right w:w="108" w:type="dxa"/>
          </w:tblCellMar>
        </w:tblPrEx>
        <w:trPr>
          <w:trHeight w:val="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3</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开标时间及地点</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rPr>
              <w:t>见招标公告信息</w:t>
            </w:r>
          </w:p>
        </w:tc>
      </w:tr>
      <w:tr>
        <w:tblPrEx>
          <w:tblCellMar>
            <w:top w:w="0" w:type="dxa"/>
            <w:left w:w="108" w:type="dxa"/>
            <w:bottom w:w="0" w:type="dxa"/>
            <w:right w:w="108" w:type="dxa"/>
          </w:tblCellMar>
        </w:tblPrEx>
        <w:trPr>
          <w:trHeight w:val="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4</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开标程序</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8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由代理机构开启投标文件，报评标委员会评审。</w:t>
            </w:r>
          </w:p>
        </w:tc>
      </w:tr>
      <w:tr>
        <w:tblPrEx>
          <w:tblCellMar>
            <w:top w:w="0" w:type="dxa"/>
            <w:left w:w="108" w:type="dxa"/>
            <w:bottom w:w="0" w:type="dxa"/>
            <w:right w:w="108" w:type="dxa"/>
          </w:tblCellMar>
        </w:tblPrEx>
        <w:trPr>
          <w:trHeight w:val="488"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5</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评标委员会的组建</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spacing w:line="380" w:lineRule="exact"/>
              <w:textAlignment w:val="auto"/>
              <w:rPr>
                <w:rFonts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评标委员会由招标人依法组建。</w:t>
            </w:r>
          </w:p>
        </w:tc>
      </w:tr>
      <w:tr>
        <w:tblPrEx>
          <w:tblCellMar>
            <w:top w:w="0" w:type="dxa"/>
            <w:left w:w="108" w:type="dxa"/>
            <w:bottom w:w="0" w:type="dxa"/>
            <w:right w:w="108" w:type="dxa"/>
          </w:tblCellMar>
        </w:tblPrEx>
        <w:trPr>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eastAsia" w:ascii="宋体" w:hAnsi="宋体" w:eastAsia="宋体" w:cs="宋体"/>
                <w:b/>
                <w:bCs/>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ascii="宋体" w:hAnsi="宋体" w:cs="宋体"/>
                <w:bCs/>
                <w:color w:val="auto"/>
                <w:szCs w:val="21"/>
                <w:highlight w:val="none"/>
              </w:rPr>
            </w:pPr>
            <w:r>
              <w:rPr>
                <w:rFonts w:hint="eastAsia" w:ascii="宋体" w:hAnsi="宋体" w:eastAsia="宋体" w:cs="宋体"/>
                <w:b w:val="0"/>
                <w:bCs w:val="0"/>
                <w:color w:val="auto"/>
                <w:sz w:val="21"/>
                <w:szCs w:val="21"/>
                <w:highlight w:val="none"/>
              </w:rPr>
              <w:t>评标委员会确定中标候选人的人数</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textAlignment w:val="auto"/>
              <w:rPr>
                <w:rFonts w:ascii="宋体" w:hAnsi="宋体" w:cs="宋体"/>
                <w:bCs/>
                <w:color w:val="auto"/>
                <w:szCs w:val="21"/>
                <w:highlight w:val="none"/>
              </w:rPr>
            </w:pP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tblPrEx>
          <w:tblCellMar>
            <w:top w:w="0" w:type="dxa"/>
            <w:left w:w="108" w:type="dxa"/>
            <w:bottom w:w="0" w:type="dxa"/>
            <w:right w:w="108" w:type="dxa"/>
          </w:tblCellMar>
        </w:tblPrEx>
        <w:trPr>
          <w:trHeight w:val="500" w:hRule="atLeast"/>
          <w:jc w:val="center"/>
        </w:trPr>
        <w:tc>
          <w:tcPr>
            <w:tcW w:w="921" w:type="dxa"/>
            <w:tcBorders>
              <w:top w:val="single" w:color="auto" w:sz="4" w:space="0"/>
              <w:left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27</w:t>
            </w:r>
          </w:p>
        </w:tc>
        <w:tc>
          <w:tcPr>
            <w:tcW w:w="2156" w:type="dxa"/>
            <w:gridSpan w:val="2"/>
            <w:tcBorders>
              <w:top w:val="single" w:color="auto" w:sz="4" w:space="0"/>
              <w:left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中标候选人公示媒介</w:t>
            </w:r>
          </w:p>
        </w:tc>
        <w:tc>
          <w:tcPr>
            <w:tcW w:w="7251" w:type="dxa"/>
            <w:tcBorders>
              <w:top w:val="single" w:color="auto" w:sz="4" w:space="0"/>
              <w:left w:val="single" w:color="auto" w:sz="4" w:space="0"/>
              <w:right w:val="single" w:color="auto" w:sz="4" w:space="0"/>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pPr>
              <w:keepNext w:val="0"/>
              <w:keepLines w:val="0"/>
              <w:pageBreakBefore w:val="0"/>
              <w:kinsoku/>
              <w:wordWrap/>
              <w:overflowPunct/>
              <w:autoSpaceDE/>
              <w:autoSpaceDN/>
              <w:bidi w:val="0"/>
              <w:spacing w:line="380" w:lineRule="exact"/>
              <w:textAlignment w:val="auto"/>
              <w:rPr>
                <w:rFonts w:ascii="宋体" w:hAnsi="宋体" w:cs="宋体"/>
                <w:color w:val="auto"/>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tblPrEx>
          <w:tblCellMar>
            <w:top w:w="0" w:type="dxa"/>
            <w:left w:w="108" w:type="dxa"/>
            <w:bottom w:w="0" w:type="dxa"/>
            <w:right w:w="108" w:type="dxa"/>
          </w:tblCellMar>
        </w:tblPrEx>
        <w:trPr>
          <w:trHeight w:val="500" w:hRule="atLeast"/>
          <w:jc w:val="center"/>
        </w:trPr>
        <w:tc>
          <w:tcPr>
            <w:tcW w:w="921" w:type="dxa"/>
            <w:tcBorders>
              <w:top w:val="single" w:color="auto" w:sz="4" w:space="0"/>
              <w:left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28</w:t>
            </w:r>
          </w:p>
        </w:tc>
        <w:tc>
          <w:tcPr>
            <w:tcW w:w="2156" w:type="dxa"/>
            <w:gridSpan w:val="2"/>
            <w:tcBorders>
              <w:top w:val="single" w:color="auto" w:sz="4" w:space="0"/>
              <w:left w:val="single" w:color="auto" w:sz="4" w:space="0"/>
              <w:right w:val="single" w:color="auto" w:sz="4" w:space="0"/>
            </w:tcBorders>
            <w:noWrap/>
            <w:vAlign w:val="center"/>
          </w:tcPr>
          <w:p>
            <w:pPr>
              <w:keepNext w:val="0"/>
              <w:keepLines w:val="0"/>
              <w:pageBreakBefore w:val="0"/>
              <w:kinsoku/>
              <w:wordWrap/>
              <w:overflowPunct/>
              <w:autoSpaceDE/>
              <w:autoSpaceDN/>
              <w:bidi w:val="0"/>
              <w:adjustRightInd w:val="0"/>
              <w:snapToGrid w:val="0"/>
              <w:spacing w:line="380" w:lineRule="exact"/>
              <w:textAlignment w:val="auto"/>
              <w:rPr>
                <w:rFonts w:hint="eastAsia" w:ascii="宋体" w:hAnsi="宋体" w:eastAsia="宋体" w:cs="宋体"/>
                <w:color w:val="auto"/>
                <w:kern w:val="2"/>
                <w:sz w:val="21"/>
                <w:szCs w:val="21"/>
                <w:highlight w:val="none"/>
                <w:lang w:val="en-US" w:eastAsia="zh-CN" w:bidi="ar-SA"/>
              </w:rPr>
            </w:pPr>
            <w:r>
              <w:rPr>
                <w:rFonts w:hint="eastAsia"/>
                <w:color w:val="auto"/>
                <w:sz w:val="21"/>
                <w:szCs w:val="21"/>
                <w:highlight w:val="none"/>
              </w:rPr>
              <w:t>中标通知书发出形式</w:t>
            </w:r>
          </w:p>
        </w:tc>
        <w:tc>
          <w:tcPr>
            <w:tcW w:w="7251" w:type="dxa"/>
            <w:tcBorders>
              <w:top w:val="single" w:color="auto" w:sz="4" w:space="0"/>
              <w:left w:val="single" w:color="auto" w:sz="4" w:space="0"/>
              <w:right w:val="single" w:color="auto" w:sz="4" w:space="0"/>
            </w:tcBorders>
            <w:noWrap/>
            <w:vAlign w:val="center"/>
          </w:tcPr>
          <w:p>
            <w:pPr>
              <w:keepNext w:val="0"/>
              <w:keepLines w:val="0"/>
              <w:pageBreakBefore w:val="0"/>
              <w:widowControl/>
              <w:kinsoku/>
              <w:wordWrap/>
              <w:overflowPunct/>
              <w:autoSpaceDE/>
              <w:autoSpaceDN/>
              <w:bidi w:val="0"/>
              <w:adjustRightInd w:val="0"/>
              <w:snapToGrid w:val="0"/>
              <w:spacing w:line="38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u w:color="000000"/>
                <w:lang w:val="en-US" w:eastAsia="zh-CN" w:bidi="ar"/>
              </w:rPr>
              <w:t>中标通知书须加盖招标人、招标代理公司公章后发出。</w:t>
            </w:r>
          </w:p>
        </w:tc>
      </w:tr>
      <w:tr>
        <w:tblPrEx>
          <w:tblCellMar>
            <w:top w:w="0" w:type="dxa"/>
            <w:left w:w="108" w:type="dxa"/>
            <w:bottom w:w="0" w:type="dxa"/>
            <w:right w:w="108" w:type="dxa"/>
          </w:tblCellMar>
        </w:tblPrEx>
        <w:trPr>
          <w:trHeight w:val="97"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29</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履约担保</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E/>
              <w:autoSpaceDN/>
              <w:bidi w:val="0"/>
              <w:spacing w:line="380" w:lineRule="exact"/>
              <w:textAlignment w:val="auto"/>
              <w:rPr>
                <w:rFonts w:ascii="宋体" w:hAnsi="宋体" w:cs="宋体"/>
                <w:bCs/>
                <w:color w:val="auto"/>
                <w:szCs w:val="21"/>
                <w:highlight w:val="none"/>
              </w:rPr>
            </w:pPr>
            <w:r>
              <w:rPr>
                <w:rFonts w:hint="eastAsia" w:ascii="宋体" w:hAnsi="宋体" w:cs="宋体"/>
                <w:bCs/>
                <w:color w:val="auto"/>
                <w:szCs w:val="21"/>
                <w:highlight w:val="none"/>
              </w:rPr>
              <w:t>履约担保的形式：支持银行转账、银行保函（见索即付无条件保函）、担保保函、商业保险、第三方担保（无条件担保）使用</w:t>
            </w:r>
          </w:p>
          <w:p>
            <w:pPr>
              <w:keepNext w:val="0"/>
              <w:keepLines w:val="0"/>
              <w:pageBreakBefore w:val="0"/>
              <w:kinsoku/>
              <w:wordWrap/>
              <w:overflowPunct/>
              <w:autoSpaceDE/>
              <w:autoSpaceDN/>
              <w:bidi w:val="0"/>
              <w:spacing w:line="380" w:lineRule="exact"/>
              <w:textAlignment w:val="auto"/>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履约担保的金额：</w:t>
            </w:r>
            <w:r>
              <w:rPr>
                <w:rFonts w:hint="eastAsia" w:ascii="宋体" w:hAnsi="宋体" w:eastAsia="宋体" w:cs="宋体"/>
                <w:bCs/>
                <w:color w:val="auto"/>
                <w:szCs w:val="21"/>
                <w:highlight w:val="none"/>
              </w:rPr>
              <w:t>中标合同金额×2%</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收款单位：中标后另行通知                 </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开户银行：中标后另行通知                   </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银行账号：中标后另行通知                   </w:t>
            </w:r>
          </w:p>
          <w:p>
            <w:pPr>
              <w:keepNext w:val="0"/>
              <w:keepLines w:val="0"/>
              <w:pageBreakBefore w:val="0"/>
              <w:kinsoku/>
              <w:overflowPunct/>
              <w:autoSpaceDN/>
              <w:bidi w:val="0"/>
              <w:spacing w:line="38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缴纳时限：中标人须在中标通知书发出后30日内完成履约保证金缴纳及合同签订（先缴纳履约保证金后签合同）。中标单位原因造成合同延期签订的，延期签订情节严重的，招标人有权取消其中标资格。并承担给招标人造成的损失，同时依法承担相应法律责任。   </w:t>
            </w:r>
          </w:p>
          <w:p>
            <w:pPr>
              <w:keepNext w:val="0"/>
              <w:keepLines w:val="0"/>
              <w:pageBreakBefore w:val="0"/>
              <w:kinsoku/>
              <w:overflowPunct/>
              <w:autoSpaceDN/>
              <w:bidi w:val="0"/>
              <w:spacing w:line="38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履约保证金退还时限：履约保证金在工程竣工验收合格后一个月内无息退还。</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其他相关要求：</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1、采用银行保函的具体要求:按招标人要求提供</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2、采用担保保函的具体要求：按招标人要求提供</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3、采用商业保险的具体要求：按招标人要求提供</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4、采用第三方担保的具体要求：按招标人要求提供</w:t>
            </w:r>
          </w:p>
          <w:p>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80" w:lineRule="exact"/>
              <w:ind w:right="0" w:rightChars="0"/>
              <w:jc w:val="both"/>
              <w:textAlignment w:val="auto"/>
              <w:rPr>
                <w:rFonts w:ascii="宋体" w:hAnsi="宋体" w:cs="宋体"/>
                <w:color w:val="auto"/>
                <w:szCs w:val="21"/>
                <w:highlight w:val="none"/>
              </w:rPr>
            </w:pPr>
            <w:r>
              <w:rPr>
                <w:rFonts w:hint="eastAsia" w:ascii="宋体" w:hAnsi="宋体" w:eastAsia="宋体" w:cs="宋体"/>
                <w:color w:val="auto"/>
                <w:sz w:val="21"/>
                <w:szCs w:val="21"/>
                <w:highlight w:val="none"/>
                <w:lang w:val="en-US" w:eastAsia="zh-CN"/>
              </w:rPr>
              <w:t>注：汇款务必注明缴款人名称及用途，切勿以现金存入。</w:t>
            </w:r>
          </w:p>
        </w:tc>
      </w:tr>
      <w:tr>
        <w:tblPrEx>
          <w:tblCellMar>
            <w:top w:w="0" w:type="dxa"/>
            <w:left w:w="108" w:type="dxa"/>
            <w:bottom w:w="0" w:type="dxa"/>
            <w:right w:w="108" w:type="dxa"/>
          </w:tblCellMar>
        </w:tblPrEx>
        <w:trPr>
          <w:trHeight w:val="90" w:hRule="atLeast"/>
          <w:jc w:val="center"/>
        </w:trPr>
        <w:tc>
          <w:tcPr>
            <w:tcW w:w="92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c>
          <w:tcPr>
            <w:tcW w:w="2156"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szCs w:val="21"/>
                <w:highlight w:val="none"/>
              </w:rPr>
            </w:pPr>
            <w:r>
              <w:rPr>
                <w:rFonts w:hint="eastAsia" w:ascii="宋体" w:hAnsi="宋体" w:eastAsia="宋体" w:cs="宋体"/>
                <w:b/>
                <w:bCs/>
                <w:color w:val="auto"/>
                <w:sz w:val="21"/>
                <w:szCs w:val="21"/>
                <w:highlight w:val="none"/>
              </w:rPr>
              <w:t>付款方式</w:t>
            </w:r>
          </w:p>
        </w:tc>
        <w:tc>
          <w:tcPr>
            <w:tcW w:w="72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80" w:lineRule="exact"/>
              <w:jc w:val="left"/>
              <w:textAlignment w:val="auto"/>
              <w:rPr>
                <w:rFonts w:ascii="宋体" w:hAnsi="宋体" w:cs="宋体"/>
                <w:color w:val="auto"/>
                <w:szCs w:val="21"/>
                <w:highlight w:val="none"/>
              </w:rPr>
            </w:pPr>
            <w:r>
              <w:rPr>
                <w:rFonts w:hint="eastAsia" w:ascii="宋体" w:hAnsi="宋体" w:eastAsia="宋体" w:cs="宋体"/>
                <w:color w:val="auto"/>
                <w:szCs w:val="21"/>
                <w:highlight w:val="none"/>
                <w:lang w:val="en-US" w:eastAsia="zh-CN"/>
              </w:rPr>
              <w:t>工程竣工验收合格</w:t>
            </w:r>
            <w:r>
              <w:rPr>
                <w:rFonts w:hint="eastAsia" w:ascii="宋体" w:hAnsi="宋体" w:cs="宋体"/>
                <w:color w:val="auto"/>
                <w:szCs w:val="21"/>
                <w:highlight w:val="none"/>
                <w:lang w:val="en-US" w:eastAsia="zh-CN"/>
              </w:rPr>
              <w:t>后支付结算价款的85%，</w:t>
            </w:r>
            <w:r>
              <w:rPr>
                <w:rFonts w:hint="eastAsia" w:ascii="宋体" w:hAnsi="宋体" w:eastAsia="宋体" w:cs="宋体"/>
                <w:color w:val="auto"/>
                <w:szCs w:val="21"/>
                <w:highlight w:val="none"/>
                <w:lang w:val="en-US" w:eastAsia="zh-CN"/>
              </w:rPr>
              <w:t>经审计结算后支付审计结算价款的98%，剩余2%作为工程质量保证金。工程质量保证金在工程缺陷责任期（缺陷责任期两年，从验收合格之日起计算）满后一个月内付清。（采用工程质量保证担保、工程质量保险等其他保证方式的，发包人不再预留质量保证金。）</w:t>
            </w:r>
          </w:p>
        </w:tc>
      </w:tr>
      <w:tr>
        <w:tblPrEx>
          <w:tblCellMar>
            <w:top w:w="0" w:type="dxa"/>
            <w:left w:w="108" w:type="dxa"/>
            <w:bottom w:w="0" w:type="dxa"/>
            <w:right w:w="108" w:type="dxa"/>
          </w:tblCellMar>
        </w:tblPrEx>
        <w:trPr>
          <w:trHeight w:val="90" w:hRule="atLeast"/>
          <w:jc w:val="center"/>
        </w:trPr>
        <w:tc>
          <w:tcPr>
            <w:tcW w:w="10328"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需要补充的其他内容</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jc w:val="center"/>
              <w:textAlignment w:val="auto"/>
              <w:rPr>
                <w:rFonts w:ascii="宋体" w:hAnsi="宋体" w:cs="宋体"/>
                <w:color w:val="auto"/>
                <w:szCs w:val="21"/>
                <w:highlight w:val="none"/>
              </w:rPr>
            </w:pPr>
            <w:r>
              <w:rPr>
                <w:rFonts w:hint="eastAsia" w:ascii="宋体" w:hAnsi="宋体" w:cs="宋体"/>
                <w:color w:val="auto"/>
                <w:sz w:val="21"/>
                <w:szCs w:val="21"/>
                <w:highlight w:val="none"/>
              </w:rPr>
              <w:t>招标代理服务费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代理服务具体金额：</w:t>
            </w:r>
            <w:r>
              <w:rPr>
                <w:rFonts w:hint="eastAsia" w:ascii="宋体" w:hAnsi="宋体" w:cs="宋体"/>
                <w:color w:val="auto"/>
                <w:kern w:val="0"/>
                <w:szCs w:val="21"/>
                <w:highlight w:val="none"/>
                <w:lang w:val="en-US" w:eastAsia="zh-CN"/>
              </w:rPr>
              <w:t>5210</w:t>
            </w:r>
            <w:r>
              <w:rPr>
                <w:rFonts w:hint="eastAsia" w:ascii="宋体" w:hAnsi="宋体" w:cs="宋体"/>
                <w:color w:val="auto"/>
                <w:kern w:val="0"/>
                <w:szCs w:val="21"/>
                <w:highlight w:val="none"/>
              </w:rPr>
              <w:t>元</w:t>
            </w:r>
            <w:r>
              <w:rPr>
                <w:rFonts w:hint="eastAsia" w:ascii="宋体" w:hAnsi="宋体" w:cs="宋体"/>
                <w:bCs/>
                <w:color w:val="auto"/>
                <w:kern w:val="0"/>
                <w:highlight w:val="none"/>
              </w:rPr>
              <w:t>。</w:t>
            </w:r>
          </w:p>
          <w:p>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auto"/>
                <w:szCs w:val="21"/>
                <w:highlight w:val="none"/>
              </w:rPr>
            </w:pPr>
            <w:r>
              <w:rPr>
                <w:rFonts w:hint="eastAsia" w:ascii="宋体" w:hAnsi="宋体" w:cs="宋体"/>
                <w:color w:val="auto"/>
                <w:kern w:val="0"/>
                <w:szCs w:val="21"/>
                <w:highlight w:val="none"/>
              </w:rPr>
              <w:t>代理服务费支付主体</w:t>
            </w:r>
            <w:r>
              <w:rPr>
                <w:rFonts w:hint="eastAsia" w:ascii="宋体" w:hAnsi="宋体" w:cs="宋体"/>
                <w:color w:val="auto"/>
                <w:szCs w:val="21"/>
                <w:highlight w:val="none"/>
              </w:rPr>
              <w:t>：</w:t>
            </w:r>
            <w:r>
              <w:rPr>
                <w:rFonts w:hint="eastAsia" w:ascii="宋体" w:hAnsi="宋体" w:cs="宋体"/>
                <w:color w:val="auto"/>
                <w:kern w:val="0"/>
                <w:szCs w:val="21"/>
                <w:highlight w:val="none"/>
              </w:rPr>
              <w:t>由中标单位在领取中标通知书时，一次性支付给代理机构。</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 w:val="21"/>
                <w:szCs w:val="21"/>
                <w:highlight w:val="none"/>
              </w:rPr>
              <w:t>专家评审劳务费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adjustRightInd w:val="0"/>
              <w:snapToGrid w:val="0"/>
              <w:spacing w:line="38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费用或支付标准：</w:t>
            </w:r>
            <w:r>
              <w:rPr>
                <w:rFonts w:hint="eastAsia" w:ascii="宋体" w:hAnsi="宋体" w:cs="宋体"/>
                <w:color w:val="auto"/>
                <w:sz w:val="21"/>
                <w:szCs w:val="21"/>
                <w:highlight w:val="none"/>
                <w:lang w:val="en-US" w:eastAsia="zh-CN"/>
              </w:rPr>
              <w:t>以实际发生为准。</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cs="宋体"/>
                <w:color w:val="auto"/>
                <w:kern w:val="0"/>
                <w:szCs w:val="21"/>
                <w:highlight w:val="none"/>
              </w:rPr>
            </w:pPr>
            <w:r>
              <w:rPr>
                <w:rFonts w:hint="eastAsia"/>
                <w:color w:val="auto"/>
                <w:sz w:val="21"/>
                <w:szCs w:val="21"/>
                <w:highlight w:val="none"/>
              </w:rPr>
              <w:t>支付主体：</w:t>
            </w:r>
            <w:r>
              <w:rPr>
                <w:rFonts w:hint="eastAsia"/>
                <w:color w:val="auto"/>
                <w:sz w:val="21"/>
                <w:szCs w:val="21"/>
                <w:highlight w:val="none"/>
                <w:lang w:val="en-US" w:eastAsia="zh-CN"/>
              </w:rPr>
              <w:t>中标单位</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eastAsia="宋体" w:cs="宋体"/>
                <w:color w:val="auto"/>
                <w:szCs w:val="21"/>
                <w:highlight w:val="none"/>
              </w:rPr>
            </w:pPr>
            <w:r>
              <w:rPr>
                <w:rFonts w:hint="eastAsia" w:ascii="宋体" w:hAnsi="Times New Roman" w:eastAsia="宋体" w:cs="Times New Roman"/>
                <w:color w:val="auto"/>
                <w:sz w:val="21"/>
                <w:szCs w:val="21"/>
                <w:highlight w:val="none"/>
              </w:rPr>
              <w:t>解释权</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left"/>
              <w:textAlignment w:val="auto"/>
              <w:rPr>
                <w:rFonts w:hint="eastAsia" w:ascii="宋体" w:hAnsi="宋体" w:cs="宋体"/>
                <w:color w:val="auto"/>
                <w:szCs w:val="21"/>
                <w:highlight w:val="none"/>
                <w:lang w:val="en-US" w:eastAsia="zh-CN"/>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eastAsia" w:ascii="宋体" w:hAnsi="宋体" w:eastAsia="宋体" w:cs="宋体"/>
                <w:color w:val="auto"/>
                <w:szCs w:val="21"/>
                <w:highlight w:val="none"/>
              </w:rPr>
            </w:pPr>
            <w:r>
              <w:rPr>
                <w:rFonts w:hint="eastAsia" w:ascii="宋体" w:hAnsi="Times New Roman" w:eastAsia="宋体" w:cs="Times New Roman"/>
                <w:color w:val="auto"/>
                <w:sz w:val="21"/>
                <w:szCs w:val="21"/>
                <w:highlight w:val="none"/>
              </w:rPr>
              <w:t>同义词语</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left"/>
              <w:textAlignment w:val="auto"/>
              <w:rPr>
                <w:rFonts w:hint="eastAsia" w:ascii="宋体" w:hAnsi="宋体" w:cs="宋体"/>
                <w:color w:val="auto"/>
                <w:szCs w:val="21"/>
                <w:highlight w:val="none"/>
                <w:lang w:val="en-US" w:eastAsia="zh-CN"/>
              </w:rPr>
            </w:pPr>
            <w:r>
              <w:rPr>
                <w:rFonts w:hint="eastAsia" w:ascii="宋体" w:hAnsi="Times New Roman" w:eastAsia="宋体" w:cs="Times New Roman"/>
                <w:color w:val="auto"/>
                <w:sz w:val="21"/>
                <w:szCs w:val="21"/>
                <w:highlight w:val="none"/>
              </w:rPr>
              <w:t>构成招标文件组成部分的“通用合同条款”、“专用合同条款”、“技术标准和要求”等章节中 “发包人”和“承包人”，等同于招标投标阶段的“招标人”和“投标人/中标人”。</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autoSpaceDN/>
              <w:bidi w:val="0"/>
              <w:spacing w:line="38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、本项目严禁非法转包，一经发现，招标人依法处理。</w:t>
            </w:r>
          </w:p>
          <w:p>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strike/>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、本文件的最终解释权归招标人、招标代理机构所有。</w:t>
            </w:r>
          </w:p>
        </w:tc>
      </w:tr>
      <w:tr>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overflowPunct/>
              <w:autoSpaceDN/>
              <w:bidi w:val="0"/>
              <w:spacing w:line="380" w:lineRule="exact"/>
              <w:jc w:val="center"/>
              <w:textAlignment w:val="auto"/>
              <w:rPr>
                <w:rFonts w:hint="eastAsia" w:ascii="宋体" w:hAnsi="宋体" w:eastAsia="宋体" w:cs="宋体"/>
                <w:color w:val="auto"/>
                <w:szCs w:val="21"/>
                <w:highlight w:val="none"/>
              </w:rPr>
            </w:pPr>
            <w:r>
              <w:rPr>
                <w:rFonts w:hint="eastAsia" w:ascii="宋体" w:hAnsi="宋体" w:cs="宋体"/>
                <w:color w:val="auto"/>
                <w:szCs w:val="21"/>
                <w:highlight w:val="none"/>
              </w:rPr>
              <w:t>知识产权</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构成本招标文件各个组成部分的文件，未经招标人书面同意，投标人不得擅自复印和用于非本招标项目所需的其他目的。投标人投标的所有投标文件、设计成果、图纸等资料和所有权、知识产权将归属于招标人，且不得索回。招标人有权全部或者部分使用未中标人投标文件中的技术成果或技术方案等，并不需征得未中标人的书面同意，且不需要支付任何使用费用。</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知识产权的范围及归属：所有投标人的投标文件、设计成果、图纸等资料均应为原创，不得包含侵犯第三方知识产权的行为。否则造成相关责任及索赔由投标人自行承担。</w:t>
            </w:r>
          </w:p>
        </w:tc>
      </w:tr>
      <w:tr>
        <w:tblPrEx>
          <w:tblCellMar>
            <w:top w:w="0" w:type="dxa"/>
            <w:left w:w="108" w:type="dxa"/>
            <w:bottom w:w="0" w:type="dxa"/>
            <w:right w:w="108" w:type="dxa"/>
          </w:tblCellMar>
        </w:tblPrEx>
        <w:trPr>
          <w:trHeight w:val="90" w:hRule="atLeast"/>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overflowPunct/>
              <w:autoSpaceDN/>
              <w:bidi w:val="0"/>
              <w:spacing w:line="380" w:lineRule="exact"/>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color w:val="auto"/>
                <w:szCs w:val="21"/>
                <w:highlight w:val="none"/>
              </w:rPr>
              <w:t>保密要求</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招标人提供的相关资料只供本次活动使用，各投标人应承担保密义务，不得擅自拷贝和传播。</w:t>
            </w:r>
          </w:p>
        </w:tc>
      </w:tr>
    </w:tbl>
    <w:p>
      <w:pPr>
        <w:rPr>
          <w:rFonts w:hint="eastAsia" w:ascii="宋体" w:hAnsi="宋体" w:eastAsia="宋体" w:cs="宋体"/>
          <w:color w:val="auto"/>
          <w:sz w:val="24"/>
          <w:szCs w:val="24"/>
          <w:highlight w:val="none"/>
        </w:rPr>
      </w:pPr>
      <w:bookmarkStart w:id="54" w:name="_Toc15058846"/>
      <w:bookmarkStart w:id="55" w:name="_Toc78803322"/>
      <w:bookmarkStart w:id="56" w:name="_Toc5813"/>
      <w:bookmarkStart w:id="57" w:name="_Toc35425053"/>
      <w:bookmarkStart w:id="58" w:name="_Toc35424887"/>
      <w:r>
        <w:rPr>
          <w:rFonts w:hint="eastAsia" w:ascii="宋体" w:hAnsi="宋体" w:eastAsia="宋体" w:cs="宋体"/>
          <w:color w:val="auto"/>
          <w:sz w:val="24"/>
          <w:szCs w:val="24"/>
          <w:highlight w:val="none"/>
        </w:rPr>
        <w:br w:type="page"/>
      </w:r>
    </w:p>
    <w:p>
      <w:pPr>
        <w:pStyle w:val="7"/>
        <w:spacing w:beforeLines="50" w:afterLines="50"/>
        <w:ind w:firstLine="482"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 总则</w:t>
      </w:r>
      <w:bookmarkEnd w:id="45"/>
      <w:bookmarkEnd w:id="46"/>
      <w:bookmarkEnd w:id="47"/>
      <w:bookmarkEnd w:id="48"/>
      <w:bookmarkEnd w:id="49"/>
      <w:bookmarkEnd w:id="50"/>
      <w:bookmarkEnd w:id="51"/>
      <w:bookmarkEnd w:id="52"/>
      <w:bookmarkEnd w:id="53"/>
      <w:bookmarkEnd w:id="54"/>
      <w:bookmarkEnd w:id="55"/>
      <w:bookmarkEnd w:id="56"/>
      <w:bookmarkEnd w:id="57"/>
      <w:bookmarkEnd w:id="58"/>
    </w:p>
    <w:p>
      <w:pPr>
        <w:pStyle w:val="7"/>
        <w:ind w:firstLine="422" w:firstLineChars="200"/>
        <w:rPr>
          <w:rFonts w:ascii="宋体" w:hAnsi="宋体" w:eastAsia="宋体" w:cs="宋体"/>
          <w:color w:val="auto"/>
          <w:kern w:val="44"/>
          <w:highlight w:val="none"/>
        </w:rPr>
      </w:pPr>
      <w:bookmarkStart w:id="59" w:name="_Toc35425054"/>
      <w:bookmarkStart w:id="60" w:name="_Toc247085690"/>
      <w:bookmarkStart w:id="61" w:name="_Toc246996176"/>
      <w:bookmarkStart w:id="62" w:name="_Toc179632547"/>
      <w:bookmarkStart w:id="63" w:name="_Toc4678"/>
      <w:bookmarkStart w:id="64" w:name="_Toc246996919"/>
      <w:bookmarkStart w:id="65" w:name="_Toc15058847"/>
      <w:bookmarkStart w:id="66" w:name="_Toc35424888"/>
      <w:bookmarkStart w:id="67" w:name="_Toc78803323"/>
      <w:bookmarkStart w:id="68" w:name="_Toc152042306"/>
      <w:bookmarkStart w:id="69" w:name="_Toc506107270"/>
      <w:bookmarkStart w:id="70" w:name="_Toc296602421"/>
      <w:bookmarkStart w:id="71" w:name="_Toc152045530"/>
      <w:bookmarkStart w:id="72" w:name="_Toc144974498"/>
      <w:bookmarkStart w:id="73" w:name="_Toc324404816"/>
      <w:r>
        <w:rPr>
          <w:rFonts w:hint="eastAsia" w:ascii="宋体" w:hAnsi="宋体" w:eastAsia="宋体" w:cs="宋体"/>
          <w:color w:val="auto"/>
          <w:kern w:val="44"/>
          <w:highlight w:val="none"/>
        </w:rPr>
        <w:t>1.1 项目概况</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1.1.1根据《中华人民共和国招标投标法》《中华人民共和国招标投标法实施条例》等有关法律、法规和规章的规定，本招标项目已具备招标条件，现对本项目施工监理进行招标。</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1.1.2 本招标项目招标人：见投标人须知前附表。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1.1.3 本招标项目招标代理机构：见投标人须知前附表。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1.1.4 本招标项目名称：见投标人须知前附表。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1.1.5 本招标项目建设地点：见投标人须知前附表。</w:t>
      </w:r>
    </w:p>
    <w:p>
      <w:pPr>
        <w:pStyle w:val="7"/>
        <w:ind w:firstLine="422" w:firstLineChars="200"/>
        <w:rPr>
          <w:rFonts w:ascii="宋体" w:hAnsi="宋体" w:eastAsia="宋体" w:cs="宋体"/>
          <w:color w:val="auto"/>
          <w:highlight w:val="none"/>
        </w:rPr>
      </w:pPr>
      <w:bookmarkStart w:id="74" w:name="_Toc78803324"/>
      <w:bookmarkStart w:id="75" w:name="_Toc247085691"/>
      <w:bookmarkStart w:id="76" w:name="_Toc152042307"/>
      <w:bookmarkStart w:id="77" w:name="_Toc246996920"/>
      <w:bookmarkStart w:id="78" w:name="_Toc7142"/>
      <w:bookmarkStart w:id="79" w:name="_Toc35425055"/>
      <w:bookmarkStart w:id="80" w:name="_Toc246996177"/>
      <w:bookmarkStart w:id="81" w:name="_Toc35424889"/>
      <w:bookmarkStart w:id="82" w:name="_Toc506107271"/>
      <w:bookmarkStart w:id="83" w:name="_Toc324404817"/>
      <w:bookmarkStart w:id="84" w:name="_Toc144974499"/>
      <w:bookmarkStart w:id="85" w:name="_Toc179632548"/>
      <w:bookmarkStart w:id="86" w:name="_Toc296602422"/>
      <w:bookmarkStart w:id="87" w:name="_Toc15058848"/>
      <w:bookmarkStart w:id="88" w:name="_Toc152045531"/>
      <w:r>
        <w:rPr>
          <w:rFonts w:hint="eastAsia" w:ascii="宋体" w:hAnsi="宋体" w:eastAsia="宋体" w:cs="宋体"/>
          <w:color w:val="auto"/>
          <w:highlight w:val="none"/>
        </w:rPr>
        <w:t>1.2 资金来源和落实情况</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1.2.2 本招标项目的资金落实情况：见投标人须知前附表。</w:t>
      </w:r>
    </w:p>
    <w:p>
      <w:pPr>
        <w:pStyle w:val="7"/>
        <w:ind w:firstLine="422" w:firstLineChars="200"/>
        <w:rPr>
          <w:rFonts w:ascii="宋体" w:hAnsi="宋体" w:eastAsia="宋体" w:cs="宋体"/>
          <w:color w:val="auto"/>
          <w:highlight w:val="none"/>
        </w:rPr>
      </w:pPr>
      <w:bookmarkStart w:id="89" w:name="_Toc78803325"/>
      <w:bookmarkStart w:id="90" w:name="_Toc15058849"/>
      <w:bookmarkStart w:id="91" w:name="_Toc324404818"/>
      <w:bookmarkStart w:id="92" w:name="_Toc179632549"/>
      <w:bookmarkStart w:id="93" w:name="_Toc506107272"/>
      <w:bookmarkStart w:id="94" w:name="_Toc247085692"/>
      <w:bookmarkStart w:id="95" w:name="_Toc152042308"/>
      <w:bookmarkStart w:id="96" w:name="_Toc35424890"/>
      <w:bookmarkStart w:id="97" w:name="_Toc35425056"/>
      <w:bookmarkStart w:id="98" w:name="_Toc246996178"/>
      <w:bookmarkStart w:id="99" w:name="_Toc246996921"/>
      <w:bookmarkStart w:id="100" w:name="_Toc296602423"/>
      <w:bookmarkStart w:id="101" w:name="_Toc144974500"/>
      <w:bookmarkStart w:id="102" w:name="_Toc6330"/>
      <w:bookmarkStart w:id="103" w:name="_Toc152045532"/>
      <w:r>
        <w:rPr>
          <w:rFonts w:hint="eastAsia" w:ascii="宋体" w:hAnsi="宋体" w:eastAsia="宋体" w:cs="宋体"/>
          <w:color w:val="auto"/>
          <w:highlight w:val="none"/>
        </w:rPr>
        <w:t>1.3 招标范围、计划工期、质量要求</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1.3.2 本招标项目的监理服务期限：见投标人须知前附表。</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1.3.3 本招标项目的质量要求：见投标人须知前附表。</w:t>
      </w:r>
    </w:p>
    <w:p>
      <w:pPr>
        <w:pStyle w:val="7"/>
        <w:ind w:firstLine="422" w:firstLineChars="200"/>
        <w:rPr>
          <w:rFonts w:ascii="宋体" w:hAnsi="宋体" w:eastAsia="宋体" w:cs="宋体"/>
          <w:color w:val="auto"/>
          <w:highlight w:val="none"/>
        </w:rPr>
      </w:pPr>
      <w:bookmarkStart w:id="104" w:name="_Toc324404819"/>
      <w:bookmarkStart w:id="105" w:name="_Toc35424891"/>
      <w:bookmarkStart w:id="106" w:name="_Toc35425057"/>
      <w:bookmarkStart w:id="107" w:name="_Toc144974502"/>
      <w:bookmarkStart w:id="108" w:name="_Toc246996179"/>
      <w:bookmarkStart w:id="109" w:name="_Toc26897"/>
      <w:bookmarkStart w:id="110" w:name="_Toc179632551"/>
      <w:bookmarkStart w:id="111" w:name="_Toc15058850"/>
      <w:bookmarkStart w:id="112" w:name="_Toc246996922"/>
      <w:bookmarkStart w:id="113" w:name="_Toc152045534"/>
      <w:bookmarkStart w:id="114" w:name="_Toc506107273"/>
      <w:bookmarkStart w:id="115" w:name="_Toc247085693"/>
      <w:bookmarkStart w:id="116" w:name="_Toc296602424"/>
      <w:bookmarkStart w:id="117" w:name="_Toc152042310"/>
      <w:bookmarkStart w:id="118" w:name="_Toc78803326"/>
      <w:r>
        <w:rPr>
          <w:rFonts w:hint="eastAsia" w:ascii="宋体" w:hAnsi="宋体" w:eastAsia="宋体" w:cs="宋体"/>
          <w:color w:val="auto"/>
          <w:highlight w:val="none"/>
        </w:rPr>
        <w:t>1.4 投标人资格要求</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1.4.1 投标人应具备承担本项目</w:t>
      </w:r>
      <w:r>
        <w:rPr>
          <w:rFonts w:hint="eastAsia" w:ascii="宋体" w:hAnsi="宋体" w:eastAsia="宋体" w:cs="宋体"/>
          <w:color w:val="auto"/>
          <w:szCs w:val="21"/>
          <w:highlight w:val="none"/>
          <w:lang w:val="en-US" w:eastAsia="zh-CN"/>
        </w:rPr>
        <w:t>施工</w:t>
      </w:r>
      <w:r>
        <w:rPr>
          <w:rFonts w:hint="eastAsia" w:ascii="宋体" w:hAnsi="宋体" w:eastAsia="宋体" w:cs="宋体"/>
          <w:color w:val="auto"/>
          <w:szCs w:val="21"/>
          <w:highlight w:val="none"/>
        </w:rPr>
        <w:t>的资质条件、能力和信誉。</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（1）资质条件：见投标人须知前附表；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（2）项目负责人资格：见投标人须知前附表；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（3）信誉要求：见投标人须知前附表；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）其他要求：见投标人须知前附表。</w:t>
      </w:r>
    </w:p>
    <w:p>
      <w:pPr>
        <w:spacing w:line="440" w:lineRule="exact"/>
        <w:ind w:firstLine="420" w:firstLineChars="200"/>
        <w:jc w:val="left"/>
        <w:rPr>
          <w:rFonts w:hint="eastAsia" w:ascii="宋体" w:hAnsi="宋体" w:eastAsia="宋体" w:cs="宋体"/>
          <w:color w:val="auto"/>
          <w:szCs w:val="21"/>
          <w:highlight w:val="none"/>
        </w:rPr>
      </w:pPr>
      <w:bookmarkStart w:id="119" w:name="_Toc152045535"/>
      <w:bookmarkStart w:id="120" w:name="_Toc10179"/>
      <w:bookmarkStart w:id="121" w:name="_Toc144974503"/>
      <w:bookmarkStart w:id="122" w:name="_Toc179632552"/>
      <w:bookmarkStart w:id="123" w:name="_Toc35424892"/>
      <w:bookmarkStart w:id="124" w:name="_Toc506107274"/>
      <w:bookmarkStart w:id="125" w:name="_Toc35425058"/>
      <w:bookmarkStart w:id="126" w:name="_Toc246996923"/>
      <w:bookmarkStart w:id="127" w:name="_Toc324404820"/>
      <w:bookmarkStart w:id="128" w:name="_Toc246996180"/>
      <w:bookmarkStart w:id="129" w:name="_Toc247085694"/>
      <w:bookmarkStart w:id="130" w:name="_Toc152042311"/>
      <w:bookmarkStart w:id="131" w:name="_Toc296602425"/>
      <w:bookmarkStart w:id="132" w:name="_Toc78803327"/>
      <w:bookmarkStart w:id="133" w:name="_Toc15058851"/>
      <w:r>
        <w:rPr>
          <w:rFonts w:hint="eastAsia" w:ascii="宋体" w:hAnsi="宋体" w:eastAsia="宋体" w:cs="宋体"/>
          <w:color w:val="auto"/>
          <w:szCs w:val="21"/>
          <w:highlight w:val="none"/>
        </w:rPr>
        <w:t>1.4.3投标人（包括联合体各成员）不得与本标段相关单位存在下列关联关系：</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（1）为招标人不具有独立法人资格的附属机构（单位）；</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（2）与招标人存在利害关系且可能影响招标公正性；</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（3）与本标段的其他投标人同为一个单位负责人；</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（4）与本标段的其他投标人存在控股、管理关系；</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（5）为本标段前期准备提供设计或咨询服务的法人或其任何附属机构（单位）(本</w:t>
      </w: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不采用)；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（6）为本标段的监理人；</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（7）为本标段的代建人；</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（8）为本标段的招标代理机构；</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（9）与本标段的监理人或代建人或招标代理机构同为一个法定代表人；</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（10）与本标段的监理人或代建人或招标代理机构存在控股或参股关系；</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（11）法律法规或投标人须知前附表规定的其他情形。</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1.5 费用承担</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pPr>
        <w:pStyle w:val="7"/>
        <w:ind w:firstLine="422" w:firstLineChars="200"/>
        <w:rPr>
          <w:rFonts w:ascii="宋体" w:hAnsi="宋体" w:eastAsia="宋体" w:cs="宋体"/>
          <w:color w:val="auto"/>
          <w:highlight w:val="none"/>
        </w:rPr>
      </w:pPr>
      <w:bookmarkStart w:id="134" w:name="_Toc152042312"/>
      <w:bookmarkStart w:id="135" w:name="_Toc35425059"/>
      <w:bookmarkStart w:id="136" w:name="_Toc296602426"/>
      <w:bookmarkStart w:id="137" w:name="_Toc179632553"/>
      <w:bookmarkStart w:id="138" w:name="_Toc15058852"/>
      <w:bookmarkStart w:id="139" w:name="_Toc246996924"/>
      <w:bookmarkStart w:id="140" w:name="_Toc144974504"/>
      <w:bookmarkStart w:id="141" w:name="_Toc35424893"/>
      <w:bookmarkStart w:id="142" w:name="_Toc324404821"/>
      <w:bookmarkStart w:id="143" w:name="_Toc506107275"/>
      <w:bookmarkStart w:id="144" w:name="_Toc247085695"/>
      <w:bookmarkStart w:id="145" w:name="_Toc4092"/>
      <w:bookmarkStart w:id="146" w:name="_Toc152045536"/>
      <w:bookmarkStart w:id="147" w:name="_Toc246996181"/>
      <w:bookmarkStart w:id="148" w:name="_Toc78803328"/>
      <w:r>
        <w:rPr>
          <w:rFonts w:hint="eastAsia" w:ascii="宋体" w:hAnsi="宋体" w:eastAsia="宋体" w:cs="宋体"/>
          <w:color w:val="auto"/>
          <w:highlight w:val="none"/>
        </w:rPr>
        <w:t>1.6 保密</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参与招标投标活动的各方应对招标文件和投标文件中的商业和技术等秘密保密，违者应对由此造成的后果承担法律责任。 </w:t>
      </w:r>
    </w:p>
    <w:p>
      <w:pPr>
        <w:pStyle w:val="7"/>
        <w:ind w:firstLine="422" w:firstLineChars="200"/>
        <w:rPr>
          <w:rFonts w:ascii="宋体" w:hAnsi="宋体" w:eastAsia="宋体" w:cs="宋体"/>
          <w:color w:val="auto"/>
          <w:highlight w:val="none"/>
        </w:rPr>
      </w:pPr>
      <w:bookmarkStart w:id="149" w:name="_Toc144974505"/>
      <w:bookmarkStart w:id="150" w:name="_Toc506107276"/>
      <w:bookmarkStart w:id="151" w:name="_Toc247085696"/>
      <w:bookmarkStart w:id="152" w:name="_Toc246996925"/>
      <w:bookmarkStart w:id="153" w:name="_Toc246996182"/>
      <w:bookmarkStart w:id="154" w:name="_Toc35424894"/>
      <w:bookmarkStart w:id="155" w:name="_Toc78803329"/>
      <w:bookmarkStart w:id="156" w:name="_Toc4119"/>
      <w:bookmarkStart w:id="157" w:name="_Toc152045537"/>
      <w:bookmarkStart w:id="158" w:name="_Toc296602427"/>
      <w:bookmarkStart w:id="159" w:name="_Toc15058853"/>
      <w:bookmarkStart w:id="160" w:name="_Toc179632554"/>
      <w:bookmarkStart w:id="161" w:name="_Toc324404822"/>
      <w:bookmarkStart w:id="162" w:name="_Toc35425060"/>
      <w:bookmarkStart w:id="163" w:name="_Toc152042313"/>
      <w:r>
        <w:rPr>
          <w:rFonts w:hint="eastAsia" w:ascii="宋体" w:hAnsi="宋体" w:eastAsia="宋体" w:cs="宋体"/>
          <w:color w:val="auto"/>
          <w:highlight w:val="none"/>
        </w:rPr>
        <w:t>1.7 语言</w:t>
      </w:r>
      <w:bookmarkEnd w:id="149"/>
      <w:r>
        <w:rPr>
          <w:rFonts w:hint="eastAsia" w:ascii="宋体" w:hAnsi="宋体" w:eastAsia="宋体" w:cs="宋体"/>
          <w:color w:val="auto"/>
          <w:highlight w:val="none"/>
        </w:rPr>
        <w:t>文字</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spacing w:line="440" w:lineRule="exact"/>
        <w:ind w:firstLine="420" w:firstLineChars="200"/>
        <w:jc w:val="left"/>
        <w:rPr>
          <w:rFonts w:ascii="宋体" w:hAnsi="宋体" w:cs="宋体"/>
          <w:color w:val="auto"/>
          <w:szCs w:val="21"/>
          <w:highlight w:val="none"/>
        </w:rPr>
      </w:pPr>
      <w:bookmarkStart w:id="164" w:name="_Toc179632555"/>
      <w:bookmarkStart w:id="165" w:name="_Toc144974506"/>
      <w:bookmarkStart w:id="166" w:name="_Toc152042314"/>
      <w:bookmarkStart w:id="167" w:name="_Toc152045538"/>
      <w:bookmarkStart w:id="168" w:name="_Toc246996183"/>
      <w:bookmarkStart w:id="169" w:name="_Toc246996926"/>
      <w:bookmarkStart w:id="170" w:name="_Toc247085697"/>
      <w:r>
        <w:rPr>
          <w:rFonts w:hint="eastAsia" w:ascii="宋体" w:hAnsi="宋体" w:cs="宋体"/>
          <w:color w:val="auto"/>
          <w:szCs w:val="21"/>
          <w:highlight w:val="none"/>
        </w:rPr>
        <w:t>招标投标文件使用的语言文字为中文。专用术语使用外文的，应附有中文注释。</w:t>
      </w:r>
    </w:p>
    <w:p>
      <w:pPr>
        <w:pStyle w:val="7"/>
        <w:ind w:firstLine="422" w:firstLineChars="200"/>
        <w:rPr>
          <w:rFonts w:ascii="宋体" w:hAnsi="宋体" w:eastAsia="宋体" w:cs="宋体"/>
          <w:color w:val="auto"/>
          <w:highlight w:val="none"/>
        </w:rPr>
      </w:pPr>
      <w:bookmarkStart w:id="171" w:name="_Toc506107277"/>
      <w:bookmarkStart w:id="172" w:name="_Toc78803330"/>
      <w:bookmarkStart w:id="173" w:name="_Toc296602428"/>
      <w:bookmarkStart w:id="174" w:name="_Toc35425061"/>
      <w:bookmarkStart w:id="175" w:name="_Toc15058854"/>
      <w:bookmarkStart w:id="176" w:name="_Toc35424895"/>
      <w:bookmarkStart w:id="177" w:name="_Toc324404823"/>
      <w:bookmarkStart w:id="178" w:name="_Toc13408"/>
      <w:r>
        <w:rPr>
          <w:rFonts w:hint="eastAsia" w:ascii="宋体" w:hAnsi="宋体" w:eastAsia="宋体" w:cs="宋体"/>
          <w:color w:val="auto"/>
          <w:highlight w:val="none"/>
        </w:rPr>
        <w:t>1.8 计量单位</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pPr>
        <w:pStyle w:val="7"/>
        <w:ind w:firstLine="422" w:firstLineChars="200"/>
        <w:rPr>
          <w:rFonts w:ascii="宋体" w:hAnsi="宋体" w:eastAsia="宋体" w:cs="宋体"/>
          <w:color w:val="auto"/>
          <w:highlight w:val="none"/>
        </w:rPr>
      </w:pPr>
      <w:bookmarkStart w:id="179" w:name="_Toc35425062"/>
      <w:bookmarkStart w:id="180" w:name="_Toc152042315"/>
      <w:bookmarkStart w:id="181" w:name="_Toc324404824"/>
      <w:bookmarkStart w:id="182" w:name="_Toc11493"/>
      <w:bookmarkStart w:id="183" w:name="_Toc152045539"/>
      <w:bookmarkStart w:id="184" w:name="_Toc15058855"/>
      <w:bookmarkStart w:id="185" w:name="_Toc78803331"/>
      <w:bookmarkStart w:id="186" w:name="_Toc144974507"/>
      <w:bookmarkStart w:id="187" w:name="_Toc35424896"/>
      <w:bookmarkStart w:id="188" w:name="_Toc296602429"/>
      <w:bookmarkStart w:id="189" w:name="_Toc247592876"/>
      <w:bookmarkStart w:id="190" w:name="_Toc247527563"/>
      <w:bookmarkStart w:id="191" w:name="_Toc506107278"/>
      <w:bookmarkStart w:id="192" w:name="_Toc247513962"/>
      <w:r>
        <w:rPr>
          <w:rFonts w:hint="eastAsia" w:ascii="宋体" w:hAnsi="宋体" w:eastAsia="宋体" w:cs="宋体"/>
          <w:color w:val="auto"/>
          <w:highlight w:val="none"/>
        </w:rPr>
        <w:t>1.9 踏勘现场</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spacing w:line="440" w:lineRule="exact"/>
        <w:ind w:firstLine="420" w:firstLineChars="200"/>
        <w:jc w:val="left"/>
        <w:rPr>
          <w:rFonts w:hint="eastAsia" w:ascii="宋体" w:hAnsi="宋体" w:eastAsia="宋体" w:cs="宋体"/>
          <w:color w:val="auto"/>
          <w:szCs w:val="21"/>
          <w:highlight w:val="none"/>
        </w:rPr>
      </w:pPr>
      <w:bookmarkStart w:id="193" w:name="_Toc506107279"/>
      <w:bookmarkStart w:id="194" w:name="_Toc152045540"/>
      <w:bookmarkStart w:id="195" w:name="_Toc35425063"/>
      <w:bookmarkStart w:id="196" w:name="_Toc144974508"/>
      <w:bookmarkStart w:id="197" w:name="_Toc15058856"/>
      <w:bookmarkStart w:id="198" w:name="_Toc296602430"/>
      <w:bookmarkStart w:id="199" w:name="_Toc152042316"/>
      <w:bookmarkStart w:id="200" w:name="_Toc78803332"/>
      <w:bookmarkStart w:id="201" w:name="_Toc247513963"/>
      <w:bookmarkStart w:id="202" w:name="_Toc22954"/>
      <w:bookmarkStart w:id="203" w:name="_Toc35424897"/>
      <w:bookmarkStart w:id="204" w:name="_Toc247592877"/>
      <w:bookmarkStart w:id="205" w:name="_Toc247527564"/>
      <w:bookmarkStart w:id="206" w:name="_Toc324404825"/>
      <w:r>
        <w:rPr>
          <w:rFonts w:hint="eastAsia" w:ascii="宋体" w:hAnsi="宋体" w:eastAsia="宋体" w:cs="宋体"/>
          <w:color w:val="auto"/>
          <w:szCs w:val="21"/>
          <w:highlight w:val="none"/>
        </w:rPr>
        <w:t xml:space="preserve">1.9.1前附表规定组织踏勘现场的，招标人按投标人须知前附表规定的时间、地点组织投标人踏勘项目现场。部分投标人未按时参加踏勘现场的，不影响踏勘现场的正常进行。招标人不得组织单个或部分投标人踏勘项目现场。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1.9.2 投标人踏勘现场发生的费用自理。</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1.9.3 除招标人的原因外，投标人自行负责在踏勘现场中所发生的人员伤亡和财产损失。</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1.9.4 招标人在踏勘现场中介绍的工程场地和相关的周边环境情况，供投标人在编制投标文件时参考，招标人不对投标人据此作出的判断和决策负责。</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1.9.5无论投标人是否到施工现场实地踏勘，中标后签订合同时和履约过程中，投标人不得以不完全了解现场情况或现场情况与招标文件描述不一致等为由，提出任何形式的增加工程造价或索赔的要求。</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1.10 投标预备会</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pPr>
        <w:spacing w:line="440" w:lineRule="exact"/>
        <w:ind w:firstLine="420" w:firstLineChars="200"/>
        <w:jc w:val="left"/>
        <w:rPr>
          <w:rFonts w:hint="eastAsia" w:ascii="宋体" w:hAnsi="宋体" w:eastAsia="宋体" w:cs="宋体"/>
          <w:color w:val="auto"/>
          <w:szCs w:val="21"/>
          <w:highlight w:val="none"/>
        </w:rPr>
      </w:pPr>
      <w:bookmarkStart w:id="207" w:name="_Toc95223347"/>
      <w:bookmarkStart w:id="208" w:name="_Toc60061444"/>
      <w:bookmarkStart w:id="209" w:name="_Toc83301699"/>
      <w:bookmarkStart w:id="210" w:name="_Toc15058857"/>
      <w:bookmarkStart w:id="211" w:name="_Toc506107280"/>
      <w:bookmarkStart w:id="212" w:name="_Toc35425064"/>
      <w:bookmarkStart w:id="213" w:name="_Toc32016"/>
      <w:bookmarkStart w:id="214" w:name="_Toc35424898"/>
      <w:bookmarkStart w:id="215" w:name="_Toc324404826"/>
      <w:bookmarkStart w:id="216" w:name="_Toc78803333"/>
      <w:bookmarkStart w:id="217" w:name="_Toc296602431"/>
      <w:r>
        <w:rPr>
          <w:rFonts w:hint="eastAsia" w:ascii="宋体" w:hAnsi="宋体" w:eastAsia="宋体" w:cs="宋体"/>
          <w:color w:val="auto"/>
          <w:szCs w:val="21"/>
          <w:highlight w:val="none"/>
        </w:rPr>
        <w:t>1.10.1投标人须知前附表规定召开投标预备会的，招标人按投标人须知前附表规定的时间和地点召开投标预备会，澄清投标人提出的问题。</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1.10.2投标人应在投标人须知前附表规定的时间前，将提出的问题送达招标人，以便招标人澄清。</w:t>
      </w:r>
    </w:p>
    <w:p>
      <w:pPr>
        <w:pStyle w:val="7"/>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1.11 分包</w:t>
      </w:r>
      <w:bookmarkEnd w:id="207"/>
      <w:bookmarkEnd w:id="208"/>
      <w:bookmarkEnd w:id="209"/>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1.11.1投标人拟在中标后将中标项目的部分非主体、非关键性工作进行分包的，应符合以下规定：</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（1）分包内容要求：招标人允许分包或不允许分包的专业工程（如有）应在投标人须知前附表中载明；</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（2）接受分包的第三人资格要求：分包人的资格能力应与其分包工程的标准和规模相适应，且具备投标人须知前附表中规定的资格条件；</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（3）其他要求：投标人如有分包计划，应按第九章“投标文件格式”的要求填写“拟分包项目情况表”，明确拟分包的工程及规模，且投标人中标后的分包应满足合同条款的相关要求。</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1.11.2中标人不得向他人转让中标项目，接受分包的人不得再次分包。中标人应就分包项目向招标人负责，接受分包的人就分包项目承担连带责任</w:t>
      </w:r>
      <w:r>
        <w:rPr>
          <w:rFonts w:hint="eastAsia" w:ascii="宋体" w:hAnsi="宋体" w:eastAsia="宋体" w:cs="宋体"/>
          <w:color w:val="auto"/>
          <w:szCs w:val="21"/>
          <w:highlight w:val="none"/>
          <w:lang w:eastAsia="zh-CN"/>
        </w:rPr>
        <w:t>。</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1.1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 偏离</w:t>
      </w:r>
      <w:bookmarkEnd w:id="210"/>
      <w:bookmarkEnd w:id="211"/>
      <w:bookmarkEnd w:id="212"/>
      <w:bookmarkEnd w:id="213"/>
      <w:bookmarkEnd w:id="214"/>
      <w:bookmarkEnd w:id="215"/>
      <w:bookmarkEnd w:id="216"/>
      <w:bookmarkEnd w:id="217"/>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1.12.1投标文件偏离招标文件某些要求，视为投标文件存在偏差。偏差包括重大偏差和细微偏差。</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1.12.2投标文件应对招标文件的实质性要求和条件作出满足性或更有利于招标人的响应，否则，视为投标文件存在重大偏差，投标人的投标将被否决。</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投标文件存在第四章“评标办法”中所列任一无效投标情形的，均属于存在重大偏差。</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1.12.3投标文件中的下列偏差为细微偏差：</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在按照第四章“评标办法”的规定对投标价进行算术性错误修正及其他错误修正后，最终投标报价未超过最高投标限价（如有）或未被否决投标的情况下，出现第四章“评标办法”规定的算术性错误和投标报价的其他错误；</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（2）投标文件个别文字有遗漏错误等不影响投标文件实质性内容的偏差。</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1.12.4评标委员会对投标文件中的细微偏差按如下规定处理：</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对于本章第 1.12.3 项（1）目所述的细微偏差，按照第四章“评标办法”的规定予以修正并要求投标人进行澄清；</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对于本章第 1.12.3 项（2）目所述的细微偏差，可要求投标人对细微偏差进行澄清。</w:t>
      </w:r>
    </w:p>
    <w:p>
      <w:pPr>
        <w:pStyle w:val="7"/>
        <w:spacing w:beforeLines="50" w:afterLines="50"/>
        <w:ind w:firstLine="482" w:firstLineChars="200"/>
        <w:rPr>
          <w:rFonts w:ascii="宋体" w:hAnsi="宋体" w:eastAsia="宋体" w:cs="宋体"/>
          <w:color w:val="auto"/>
          <w:sz w:val="24"/>
          <w:szCs w:val="24"/>
          <w:highlight w:val="none"/>
        </w:rPr>
      </w:pPr>
      <w:bookmarkStart w:id="218" w:name="_Toc247085701"/>
      <w:bookmarkStart w:id="219" w:name="_Toc506107281"/>
      <w:bookmarkStart w:id="220" w:name="_Toc78803334"/>
      <w:bookmarkStart w:id="221" w:name="_Toc246996187"/>
      <w:bookmarkStart w:id="222" w:name="_Toc152042318"/>
      <w:bookmarkStart w:id="223" w:name="_Toc15058858"/>
      <w:bookmarkStart w:id="224" w:name="_Toc35425065"/>
      <w:bookmarkStart w:id="225" w:name="_Toc35424899"/>
      <w:bookmarkStart w:id="226" w:name="_Toc4012"/>
      <w:bookmarkStart w:id="227" w:name="_Toc246996930"/>
      <w:bookmarkStart w:id="228" w:name="_Toc324404827"/>
      <w:bookmarkStart w:id="229" w:name="_Toc144974510"/>
      <w:bookmarkStart w:id="230" w:name="_Toc179632560"/>
      <w:bookmarkStart w:id="231" w:name="_Toc152045542"/>
      <w:r>
        <w:rPr>
          <w:rFonts w:hint="eastAsia" w:ascii="宋体" w:hAnsi="宋体" w:eastAsia="宋体" w:cs="宋体"/>
          <w:color w:val="auto"/>
          <w:sz w:val="24"/>
          <w:szCs w:val="24"/>
          <w:highlight w:val="none"/>
        </w:rPr>
        <w:t>2. 招标文件</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pStyle w:val="7"/>
        <w:ind w:firstLine="422" w:firstLineChars="200"/>
        <w:rPr>
          <w:rFonts w:ascii="宋体" w:hAnsi="宋体" w:eastAsia="宋体" w:cs="宋体"/>
          <w:color w:val="auto"/>
          <w:highlight w:val="none"/>
        </w:rPr>
      </w:pPr>
      <w:bookmarkStart w:id="232" w:name="_Toc15058859"/>
      <w:bookmarkStart w:id="233" w:name="_Toc152045543"/>
      <w:bookmarkStart w:id="234" w:name="_Toc506107282"/>
      <w:bookmarkStart w:id="235" w:name="_Toc246996188"/>
      <w:bookmarkStart w:id="236" w:name="_Toc246996931"/>
      <w:bookmarkStart w:id="237" w:name="_Toc78803335"/>
      <w:bookmarkStart w:id="238" w:name="_Toc179632561"/>
      <w:bookmarkStart w:id="239" w:name="_Toc296602433"/>
      <w:bookmarkStart w:id="240" w:name="_Toc152042319"/>
      <w:bookmarkStart w:id="241" w:name="_Toc35424900"/>
      <w:bookmarkStart w:id="242" w:name="_Toc144974511"/>
      <w:bookmarkStart w:id="243" w:name="_Toc35425066"/>
      <w:bookmarkStart w:id="244" w:name="_Toc324404828"/>
      <w:bookmarkStart w:id="245" w:name="_Toc247085702"/>
      <w:bookmarkStart w:id="246" w:name="_Toc13213"/>
      <w:r>
        <w:rPr>
          <w:rFonts w:hint="eastAsia" w:ascii="宋体" w:hAnsi="宋体" w:eastAsia="宋体" w:cs="宋体"/>
          <w:color w:val="auto"/>
          <w:highlight w:val="none"/>
        </w:rPr>
        <w:t>2.1 招标文件的组成</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2.1.1 本招标文件包括：</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（1）招标公告；</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（2）投标人须知；</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（3）资格审查办法</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（4）评标办法；</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（5）工程量清单</w:t>
      </w:r>
      <w:r>
        <w:rPr>
          <w:rFonts w:hint="eastAsia" w:ascii="宋体" w:hAnsi="宋体" w:eastAsia="宋体" w:cs="宋体"/>
          <w:color w:val="auto"/>
          <w:szCs w:val="21"/>
          <w:highlight w:val="none"/>
          <w:lang w:eastAsia="zh-CN"/>
        </w:rPr>
        <w:t>；</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图纸</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）合同条款及格式；</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）投标文件格式；</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）投标人须知前附表规定的其他材料。</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根据本章第1.10款、第2.2款和第2.3款对招标文件所作的澄清、修改，构成招标文件的组成部分。</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2.1.3当招标文件、招标文件的澄清或修改等在同一内容的表述上不一致时，以最后发出的文件为准。</w:t>
      </w:r>
    </w:p>
    <w:p>
      <w:pPr>
        <w:pStyle w:val="7"/>
        <w:ind w:firstLine="422" w:firstLineChars="200"/>
        <w:rPr>
          <w:rFonts w:hint="eastAsia" w:ascii="宋体" w:hAnsi="宋体" w:eastAsia="宋体" w:cs="宋体"/>
          <w:color w:val="auto"/>
          <w:highlight w:val="none"/>
        </w:rPr>
      </w:pPr>
      <w:bookmarkStart w:id="247" w:name="_Toc152045544"/>
      <w:bookmarkStart w:id="248" w:name="_Toc144974512"/>
      <w:bookmarkStart w:id="249" w:name="_Toc15058860"/>
      <w:bookmarkStart w:id="250" w:name="_Toc324404829"/>
      <w:bookmarkStart w:id="251" w:name="_Toc78803336"/>
      <w:bookmarkStart w:id="252" w:name="_Toc247085703"/>
      <w:bookmarkStart w:id="253" w:name="_Toc152042320"/>
      <w:bookmarkStart w:id="254" w:name="_Toc246996189"/>
      <w:bookmarkStart w:id="255" w:name="_Toc296602434"/>
      <w:bookmarkStart w:id="256" w:name="_Toc35425067"/>
      <w:bookmarkStart w:id="257" w:name="_Toc32239"/>
      <w:bookmarkStart w:id="258" w:name="_Toc506107283"/>
      <w:bookmarkStart w:id="259" w:name="_Toc35424901"/>
      <w:bookmarkStart w:id="260" w:name="_Toc179632562"/>
      <w:bookmarkStart w:id="261" w:name="_Toc246996932"/>
      <w:r>
        <w:rPr>
          <w:rFonts w:hint="eastAsia" w:ascii="宋体" w:hAnsi="宋体" w:eastAsia="宋体" w:cs="宋体"/>
          <w:color w:val="auto"/>
          <w:highlight w:val="none"/>
        </w:rPr>
        <w:t xml:space="preserve">2.2 </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r>
        <w:rPr>
          <w:rFonts w:hint="eastAsia" w:ascii="宋体" w:hAnsi="宋体" w:eastAsia="宋体" w:cs="宋体"/>
          <w:color w:val="auto"/>
          <w:highlight w:val="none"/>
        </w:rPr>
        <w:t>招标文件的异议</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投标人应仔细阅读和检查招标文件的全部内容。如有疑问，应在投标人须知前附表规定的时间</w:t>
      </w:r>
      <w:r>
        <w:rPr>
          <w:rFonts w:hint="eastAsia" w:ascii="宋体" w:hAnsi="宋体" w:cs="宋体"/>
          <w:color w:val="auto"/>
          <w:szCs w:val="21"/>
          <w:highlight w:val="none"/>
          <w:lang w:val="en-US" w:eastAsia="zh-CN"/>
        </w:rPr>
        <w:t>和方式</w:t>
      </w:r>
      <w:r>
        <w:rPr>
          <w:rFonts w:hint="eastAsia" w:ascii="宋体" w:hAnsi="宋体" w:eastAsia="宋体" w:cs="宋体"/>
          <w:color w:val="auto"/>
          <w:szCs w:val="21"/>
          <w:highlight w:val="none"/>
          <w:lang w:val="en-US" w:eastAsia="zh-CN"/>
        </w:rPr>
        <w:t>提出</w:t>
      </w:r>
      <w:r>
        <w:rPr>
          <w:rFonts w:hint="eastAsia" w:ascii="宋体" w:hAnsi="宋体" w:cs="宋体"/>
          <w:color w:val="auto"/>
          <w:szCs w:val="21"/>
          <w:highlight w:val="none"/>
        </w:rPr>
        <w:t>。</w:t>
      </w:r>
    </w:p>
    <w:p>
      <w:pPr>
        <w:pStyle w:val="7"/>
        <w:ind w:firstLine="422" w:firstLineChars="200"/>
        <w:rPr>
          <w:rFonts w:hint="eastAsia" w:ascii="宋体" w:hAnsi="宋体" w:eastAsia="宋体" w:cs="宋体"/>
          <w:color w:val="auto"/>
          <w:highlight w:val="none"/>
          <w:lang w:eastAsia="zh-CN"/>
        </w:rPr>
      </w:pPr>
      <w:bookmarkStart w:id="262" w:name="_Toc35424902"/>
      <w:bookmarkStart w:id="263" w:name="_Toc15058861"/>
      <w:bookmarkStart w:id="264" w:name="_Toc506107284"/>
      <w:bookmarkStart w:id="265" w:name="_Toc246996933"/>
      <w:bookmarkStart w:id="266" w:name="_Toc152042321"/>
      <w:bookmarkStart w:id="267" w:name="_Toc179632563"/>
      <w:bookmarkStart w:id="268" w:name="_Toc152045545"/>
      <w:bookmarkStart w:id="269" w:name="_Toc296602435"/>
      <w:bookmarkStart w:id="270" w:name="_Toc24633"/>
      <w:bookmarkStart w:id="271" w:name="_Toc246996190"/>
      <w:bookmarkStart w:id="272" w:name="_Toc324404830"/>
      <w:bookmarkStart w:id="273" w:name="_Toc35425068"/>
      <w:bookmarkStart w:id="274" w:name="_Toc144974513"/>
      <w:bookmarkStart w:id="275" w:name="_Toc78803337"/>
      <w:bookmarkStart w:id="276" w:name="_Toc247085704"/>
      <w:r>
        <w:rPr>
          <w:rFonts w:hint="eastAsia" w:ascii="宋体" w:hAnsi="宋体" w:eastAsia="宋体" w:cs="宋体"/>
          <w:color w:val="auto"/>
          <w:highlight w:val="none"/>
        </w:rPr>
        <w:t>2.3 招标文件的</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r>
        <w:rPr>
          <w:rFonts w:hint="eastAsia" w:ascii="宋体" w:hAnsi="宋体" w:eastAsia="宋体" w:cs="宋体"/>
          <w:color w:val="auto"/>
          <w:highlight w:val="none"/>
          <w:lang w:val="en-US" w:eastAsia="zh-CN"/>
        </w:rPr>
        <w:t>澄清</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highlight w:val="none"/>
        </w:rPr>
      </w:pPr>
      <w:bookmarkStart w:id="277" w:name="_Toc2696"/>
      <w:bookmarkStart w:id="278" w:name="_Toc35425069"/>
      <w:bookmarkStart w:id="279" w:name="_Toc15058862"/>
      <w:bookmarkStart w:id="280" w:name="_Toc35424903"/>
      <w:bookmarkStart w:id="281" w:name="_Toc324404831"/>
      <w:bookmarkStart w:id="282" w:name="_Toc78803338"/>
      <w:r>
        <w:rPr>
          <w:rFonts w:hint="eastAsia" w:ascii="宋体" w:hAnsi="宋体" w:eastAsia="宋体" w:cs="宋体"/>
          <w:color w:val="auto"/>
          <w:szCs w:val="21"/>
          <w:highlight w:val="none"/>
        </w:rPr>
        <w:t>招标文件的澄清将在</w:t>
      </w:r>
      <w:r>
        <w:rPr>
          <w:rFonts w:hint="eastAsia" w:ascii="宋体" w:hAnsi="宋体" w:cs="宋体"/>
          <w:color w:val="auto"/>
          <w:szCs w:val="21"/>
          <w:highlight w:val="none"/>
          <w:lang w:eastAsia="zh-CN"/>
        </w:rPr>
        <w:t>中国扬子集团（http://www.yangzigroup.cn/）</w:t>
      </w:r>
      <w:r>
        <w:rPr>
          <w:rFonts w:hint="eastAsia" w:ascii="宋体" w:hAnsi="宋体" w:eastAsia="宋体" w:cs="宋体"/>
          <w:color w:val="auto"/>
          <w:szCs w:val="21"/>
          <w:highlight w:val="none"/>
        </w:rPr>
        <w:t>发布，但不指明澄清问题的来源。</w:t>
      </w:r>
    </w:p>
    <w:bookmarkEnd w:id="277"/>
    <w:bookmarkEnd w:id="278"/>
    <w:bookmarkEnd w:id="279"/>
    <w:bookmarkEnd w:id="280"/>
    <w:bookmarkEnd w:id="281"/>
    <w:bookmarkEnd w:id="282"/>
    <w:p>
      <w:pPr>
        <w:pStyle w:val="7"/>
        <w:spacing w:beforeLines="50" w:afterLines="50"/>
        <w:ind w:firstLine="482" w:firstLineChars="200"/>
        <w:rPr>
          <w:rFonts w:ascii="宋体" w:hAnsi="宋体" w:eastAsia="宋体" w:cs="宋体"/>
          <w:color w:val="auto"/>
          <w:sz w:val="24"/>
          <w:szCs w:val="24"/>
          <w:highlight w:val="none"/>
        </w:rPr>
      </w:pPr>
      <w:bookmarkStart w:id="283" w:name="_Toc324404832"/>
      <w:bookmarkStart w:id="284" w:name="_Toc78803339"/>
      <w:bookmarkStart w:id="285" w:name="_Toc152045546"/>
      <w:bookmarkStart w:id="286" w:name="_Toc15058863"/>
      <w:bookmarkStart w:id="287" w:name="_Toc35424904"/>
      <w:bookmarkStart w:id="288" w:name="_Toc246996191"/>
      <w:bookmarkStart w:id="289" w:name="_Toc6464"/>
      <w:bookmarkStart w:id="290" w:name="_Toc35425070"/>
      <w:bookmarkStart w:id="291" w:name="_Toc179632564"/>
      <w:bookmarkStart w:id="292" w:name="_Toc152042322"/>
      <w:bookmarkStart w:id="293" w:name="_Toc246996934"/>
      <w:bookmarkStart w:id="294" w:name="_Toc144974514"/>
      <w:bookmarkStart w:id="295" w:name="_Toc506107285"/>
      <w:bookmarkStart w:id="296" w:name="_Toc247085705"/>
      <w:r>
        <w:rPr>
          <w:rFonts w:hint="eastAsia" w:ascii="宋体" w:hAnsi="宋体" w:eastAsia="宋体" w:cs="宋体"/>
          <w:color w:val="auto"/>
          <w:sz w:val="24"/>
          <w:szCs w:val="24"/>
          <w:highlight w:val="none"/>
        </w:rPr>
        <w:t>3. 投标文件</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pPr>
        <w:pStyle w:val="7"/>
        <w:ind w:firstLine="422" w:firstLineChars="200"/>
        <w:rPr>
          <w:rFonts w:ascii="宋体" w:hAnsi="宋体" w:eastAsia="宋体" w:cs="宋体"/>
          <w:color w:val="auto"/>
          <w:highlight w:val="none"/>
        </w:rPr>
      </w:pPr>
      <w:bookmarkStart w:id="297" w:name="_Toc157"/>
      <w:bookmarkStart w:id="298" w:name="_Toc247085706"/>
      <w:bookmarkStart w:id="299" w:name="_Toc152042323"/>
      <w:bookmarkStart w:id="300" w:name="_Toc179632565"/>
      <w:bookmarkStart w:id="301" w:name="_Toc35424905"/>
      <w:bookmarkStart w:id="302" w:name="_Toc35425071"/>
      <w:bookmarkStart w:id="303" w:name="_Toc144974515"/>
      <w:bookmarkStart w:id="304" w:name="_Toc296602437"/>
      <w:bookmarkStart w:id="305" w:name="_Toc152045547"/>
      <w:bookmarkStart w:id="306" w:name="_Toc324404833"/>
      <w:bookmarkStart w:id="307" w:name="_Toc246996192"/>
      <w:bookmarkStart w:id="308" w:name="_Toc78803340"/>
      <w:bookmarkStart w:id="309" w:name="_Toc15058864"/>
      <w:bookmarkStart w:id="310" w:name="_Toc246996935"/>
      <w:bookmarkStart w:id="311" w:name="_Toc506107286"/>
      <w:r>
        <w:rPr>
          <w:rFonts w:hint="eastAsia" w:ascii="宋体" w:hAnsi="宋体" w:eastAsia="宋体" w:cs="宋体"/>
          <w:color w:val="auto"/>
          <w:highlight w:val="none"/>
        </w:rPr>
        <w:t>3.1 投标文件的组成</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pPr>
        <w:spacing w:line="440" w:lineRule="exact"/>
        <w:ind w:firstLine="420" w:firstLineChars="200"/>
        <w:jc w:val="left"/>
        <w:rPr>
          <w:rFonts w:ascii="宋体" w:hAnsi="宋体" w:cs="宋体"/>
          <w:color w:val="auto"/>
          <w:szCs w:val="21"/>
          <w:highlight w:val="none"/>
        </w:rPr>
      </w:pPr>
      <w:r>
        <w:rPr>
          <w:rFonts w:hint="eastAsia" w:ascii="宋体" w:hAnsi="宋体" w:eastAsia="宋体" w:cs="宋体"/>
          <w:bCs/>
          <w:color w:val="auto"/>
          <w:kern w:val="0"/>
          <w:sz w:val="21"/>
          <w:szCs w:val="21"/>
          <w:highlight w:val="none"/>
          <w:u w:color="000000"/>
          <w:lang w:val="en-US" w:eastAsia="zh-CN" w:bidi="ar"/>
        </w:rPr>
        <w:t>投标文件</w:t>
      </w:r>
      <w:r>
        <w:rPr>
          <w:rFonts w:hint="default" w:ascii="宋体" w:hAnsi="宋体" w:eastAsia="宋体" w:cs="宋体"/>
          <w:bCs/>
          <w:color w:val="auto"/>
          <w:kern w:val="0"/>
          <w:sz w:val="21"/>
          <w:szCs w:val="21"/>
          <w:highlight w:val="none"/>
          <w:u w:color="000000"/>
          <w:lang w:val="en-US" w:eastAsia="zh-CN" w:bidi="ar"/>
        </w:rPr>
        <w:t>须</w:t>
      </w:r>
      <w:r>
        <w:rPr>
          <w:rFonts w:hint="eastAsia" w:ascii="宋体" w:hAnsi="宋体" w:eastAsia="宋体" w:cs="宋体"/>
          <w:bCs/>
          <w:color w:val="auto"/>
          <w:kern w:val="0"/>
          <w:sz w:val="21"/>
          <w:szCs w:val="21"/>
          <w:highlight w:val="none"/>
          <w:u w:color="000000"/>
          <w:lang w:val="en-US" w:eastAsia="zh-CN" w:bidi="ar"/>
        </w:rPr>
        <w:t>签字盖章完毕后扫描成一个连续性的整体PDF格式文件</w:t>
      </w:r>
      <w:r>
        <w:rPr>
          <w:rFonts w:hint="eastAsia" w:ascii="宋体" w:hAnsi="宋体" w:cs="宋体"/>
          <w:color w:val="auto"/>
          <w:szCs w:val="21"/>
          <w:highlight w:val="none"/>
          <w:lang w:eastAsia="zh-CN"/>
        </w:rPr>
        <w:t>。</w:t>
      </w:r>
      <w:r>
        <w:rPr>
          <w:rFonts w:hint="eastAsia" w:ascii="宋体" w:hAnsi="宋体" w:cs="宋体"/>
          <w:color w:val="auto"/>
          <w:szCs w:val="21"/>
          <w:highlight w:val="none"/>
        </w:rPr>
        <w:t>具体要求详见本招标文件第</w:t>
      </w:r>
      <w:r>
        <w:rPr>
          <w:rFonts w:hint="eastAsia" w:ascii="宋体" w:hAnsi="宋体" w:cs="宋体"/>
          <w:color w:val="auto"/>
          <w:szCs w:val="21"/>
          <w:highlight w:val="none"/>
          <w:lang w:val="en-US" w:eastAsia="zh-CN"/>
        </w:rPr>
        <w:t>九</w:t>
      </w:r>
      <w:r>
        <w:rPr>
          <w:rFonts w:hint="eastAsia" w:ascii="宋体" w:hAnsi="宋体" w:cs="宋体"/>
          <w:color w:val="auto"/>
          <w:szCs w:val="21"/>
          <w:highlight w:val="none"/>
        </w:rPr>
        <w:t>章“投标文件格式”。</w:t>
      </w:r>
    </w:p>
    <w:p>
      <w:pPr>
        <w:pStyle w:val="7"/>
        <w:ind w:firstLine="422" w:firstLineChars="200"/>
        <w:rPr>
          <w:rFonts w:ascii="宋体" w:hAnsi="宋体" w:eastAsia="宋体" w:cs="宋体"/>
          <w:color w:val="auto"/>
          <w:highlight w:val="none"/>
        </w:rPr>
      </w:pPr>
      <w:bookmarkStart w:id="312" w:name="_Toc246996936"/>
      <w:bookmarkStart w:id="313" w:name="_Toc246996193"/>
      <w:bookmarkStart w:id="314" w:name="_Toc324404834"/>
      <w:bookmarkStart w:id="315" w:name="_Toc6829"/>
      <w:bookmarkStart w:id="316" w:name="_Toc78803341"/>
      <w:bookmarkStart w:id="317" w:name="_Toc144974516"/>
      <w:bookmarkStart w:id="318" w:name="_Toc152045548"/>
      <w:bookmarkStart w:id="319" w:name="_Toc35424906"/>
      <w:bookmarkStart w:id="320" w:name="_Toc296602438"/>
      <w:bookmarkStart w:id="321" w:name="_Toc247085707"/>
      <w:bookmarkStart w:id="322" w:name="_Toc506107287"/>
      <w:bookmarkStart w:id="323" w:name="_Toc152042324"/>
      <w:bookmarkStart w:id="324" w:name="_Toc179632566"/>
      <w:bookmarkStart w:id="325" w:name="_Toc15058865"/>
      <w:bookmarkStart w:id="326" w:name="_Toc35425072"/>
      <w:r>
        <w:rPr>
          <w:rFonts w:hint="eastAsia" w:ascii="宋体" w:hAnsi="宋体" w:eastAsia="宋体" w:cs="宋体"/>
          <w:color w:val="auto"/>
          <w:highlight w:val="none"/>
        </w:rPr>
        <w:t>3.2 投标报价</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pPr>
        <w:spacing w:line="440" w:lineRule="exact"/>
        <w:ind w:firstLine="420" w:firstLineChars="200"/>
        <w:jc w:val="left"/>
        <w:rPr>
          <w:rFonts w:hint="eastAsia" w:ascii="宋体" w:hAnsi="宋体" w:eastAsia="宋体" w:cs="宋体"/>
          <w:color w:val="auto"/>
          <w:szCs w:val="21"/>
          <w:highlight w:val="none"/>
          <w:lang w:eastAsia="zh-CN"/>
        </w:rPr>
      </w:pPr>
      <w:bookmarkStart w:id="327" w:name="_Toc246996194"/>
      <w:bookmarkStart w:id="328" w:name="_Toc78803342"/>
      <w:bookmarkStart w:id="329" w:name="_Toc15058866"/>
      <w:bookmarkStart w:id="330" w:name="_Toc35425073"/>
      <w:bookmarkStart w:id="331" w:name="_Toc296602439"/>
      <w:bookmarkStart w:id="332" w:name="_Toc31735"/>
      <w:bookmarkStart w:id="333" w:name="_Toc179632567"/>
      <w:bookmarkStart w:id="334" w:name="_Toc152045549"/>
      <w:bookmarkStart w:id="335" w:name="_Toc152042325"/>
      <w:bookmarkStart w:id="336" w:name="_Toc324404835"/>
      <w:bookmarkStart w:id="337" w:name="_Toc506107288"/>
      <w:bookmarkStart w:id="338" w:name="_Toc144974517"/>
      <w:bookmarkStart w:id="339" w:name="_Toc35424907"/>
      <w:bookmarkStart w:id="340" w:name="_Toc247085708"/>
      <w:bookmarkStart w:id="341" w:name="_Toc246996937"/>
      <w:r>
        <w:rPr>
          <w:rFonts w:hint="eastAsia" w:ascii="宋体" w:hAnsi="宋体" w:eastAsia="宋体" w:cs="宋体"/>
          <w:color w:val="auto"/>
          <w:szCs w:val="21"/>
          <w:highlight w:val="none"/>
          <w:lang w:eastAsia="zh-CN"/>
        </w:rPr>
        <w:t>3.2.1投标报价应包括国家规定的增值税税金，除投标人须知前附表另有规定外，增值税税金按一般计税方法计算。投标人应按第</w:t>
      </w:r>
      <w:r>
        <w:rPr>
          <w:rFonts w:hint="eastAsia" w:ascii="宋体" w:hAnsi="宋体" w:eastAsia="宋体" w:cs="宋体"/>
          <w:color w:val="auto"/>
          <w:szCs w:val="21"/>
          <w:highlight w:val="none"/>
          <w:lang w:val="en-US" w:eastAsia="zh-CN"/>
        </w:rPr>
        <w:t>九</w:t>
      </w:r>
      <w:r>
        <w:rPr>
          <w:rFonts w:hint="eastAsia" w:ascii="宋体" w:hAnsi="宋体" w:eastAsia="宋体" w:cs="宋体"/>
          <w:color w:val="auto"/>
          <w:szCs w:val="21"/>
          <w:highlight w:val="none"/>
          <w:lang w:eastAsia="zh-CN"/>
        </w:rPr>
        <w:t>章“投标文件格式”的要求在投标函中进行报价并填写工程量清单相应表格。</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3.2.2投标人应充分了解本项目的总体情况以及影响投标报价的其他要素。</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3.2.3投标人在投标截止时间前修改投标函中的投标报价总额，应同时修改“已标价工程量清单”中的相应报价，投标报价总额为各分项金额之和。此修改须符合本章第4.4款的有关要求。</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3.2.4招标人设有最高投标限价的，投标人的投标报价不得超过最高投标限价，最高投标限价在投标人须知前附表中载明。</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3.2.5 投标报价的其他要求见投标人须知前附表。</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3.3 投标有效期</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除投标人须知前附表另有规定外，投标有效期为90天。</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3.3.2在投标有效期内，投标人撤销或修改其投标文件的，应承担招标文件和法律规定的责任。</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ind w:firstLine="422" w:firstLineChars="200"/>
        <w:rPr>
          <w:rFonts w:hint="eastAsia" w:ascii="宋体" w:hAnsi="宋体" w:eastAsia="宋体" w:cs="宋体"/>
          <w:color w:val="auto"/>
          <w:highlight w:val="none"/>
        </w:rPr>
      </w:pPr>
      <w:bookmarkStart w:id="342" w:name="_Toc35424908"/>
      <w:bookmarkStart w:id="343" w:name="_Toc246996195"/>
      <w:bookmarkStart w:id="344" w:name="_Toc152042326"/>
      <w:bookmarkStart w:id="345" w:name="_Toc35425074"/>
      <w:bookmarkStart w:id="346" w:name="_Toc15058867"/>
      <w:bookmarkStart w:id="347" w:name="_Toc10714"/>
      <w:bookmarkStart w:id="348" w:name="_Toc506107289"/>
      <w:bookmarkStart w:id="349" w:name="_Toc78803343"/>
      <w:bookmarkStart w:id="350" w:name="_Toc296602440"/>
      <w:bookmarkStart w:id="351" w:name="_Toc144974518"/>
      <w:bookmarkStart w:id="352" w:name="_Toc324404836"/>
      <w:bookmarkStart w:id="353" w:name="_Toc246996938"/>
      <w:bookmarkStart w:id="354" w:name="_Toc247085709"/>
      <w:bookmarkStart w:id="355" w:name="_Toc179632568"/>
      <w:bookmarkStart w:id="356" w:name="_Toc152045550"/>
      <w:r>
        <w:rPr>
          <w:rFonts w:hint="eastAsia" w:ascii="宋体" w:hAnsi="宋体" w:eastAsia="宋体" w:cs="宋体"/>
          <w:color w:val="auto"/>
          <w:highlight w:val="none"/>
        </w:rPr>
        <w:t>3.4 投标保证金</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pPr>
        <w:spacing w:line="440" w:lineRule="exact"/>
        <w:ind w:firstLine="420" w:firstLineChars="2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3.4.1本项目不收取投标保证金。</w:t>
      </w:r>
    </w:p>
    <w:p>
      <w:pPr>
        <w:pStyle w:val="7"/>
        <w:ind w:firstLine="422" w:firstLineChars="200"/>
        <w:rPr>
          <w:rFonts w:ascii="宋体" w:hAnsi="宋体" w:eastAsia="宋体" w:cs="宋体"/>
          <w:color w:val="auto"/>
          <w:highlight w:val="none"/>
        </w:rPr>
      </w:pPr>
      <w:bookmarkStart w:id="357" w:name="_Toc19037"/>
      <w:bookmarkStart w:id="358" w:name="_Toc35424909"/>
      <w:bookmarkStart w:id="359" w:name="_Toc506107290"/>
      <w:bookmarkStart w:id="360" w:name="_Toc78803344"/>
      <w:bookmarkStart w:id="361" w:name="_Toc35425075"/>
      <w:bookmarkStart w:id="362" w:name="_Toc296602442"/>
      <w:bookmarkStart w:id="363" w:name="_Toc324404837"/>
      <w:bookmarkStart w:id="364" w:name="_Toc15058868"/>
      <w:bookmarkStart w:id="365" w:name="_Toc152042329"/>
      <w:bookmarkStart w:id="366" w:name="_Toc152045553"/>
      <w:bookmarkStart w:id="367" w:name="_Toc144974521"/>
      <w:bookmarkStart w:id="368" w:name="_Toc246996197"/>
      <w:bookmarkStart w:id="369" w:name="_Toc247085711"/>
      <w:bookmarkStart w:id="370" w:name="_Toc246996940"/>
      <w:bookmarkStart w:id="371" w:name="_Toc179632571"/>
      <w:r>
        <w:rPr>
          <w:rFonts w:hint="eastAsia" w:ascii="宋体" w:hAnsi="宋体" w:eastAsia="宋体" w:cs="宋体"/>
          <w:color w:val="auto"/>
          <w:highlight w:val="none"/>
        </w:rPr>
        <w:t>3.5投标文件的编制</w:t>
      </w:r>
      <w:bookmarkEnd w:id="357"/>
      <w:bookmarkEnd w:id="358"/>
      <w:bookmarkEnd w:id="359"/>
      <w:bookmarkEnd w:id="360"/>
      <w:bookmarkEnd w:id="361"/>
      <w:bookmarkEnd w:id="362"/>
      <w:bookmarkEnd w:id="363"/>
      <w:bookmarkEnd w:id="364"/>
    </w:p>
    <w:bookmarkEnd w:id="365"/>
    <w:bookmarkEnd w:id="366"/>
    <w:bookmarkEnd w:id="367"/>
    <w:bookmarkEnd w:id="368"/>
    <w:bookmarkEnd w:id="369"/>
    <w:bookmarkEnd w:id="370"/>
    <w:bookmarkEnd w:id="371"/>
    <w:p>
      <w:pPr>
        <w:spacing w:line="440" w:lineRule="exact"/>
        <w:ind w:firstLine="420" w:firstLineChars="200"/>
        <w:jc w:val="left"/>
        <w:rPr>
          <w:rFonts w:hint="eastAsia" w:ascii="宋体" w:hAnsi="宋体" w:eastAsia="宋体" w:cs="宋体"/>
          <w:color w:val="auto"/>
          <w:szCs w:val="21"/>
          <w:highlight w:val="none"/>
          <w:lang w:val="en-US" w:eastAsia="zh-CN"/>
        </w:rPr>
      </w:pPr>
      <w:bookmarkStart w:id="372" w:name="_Toc144974523"/>
      <w:bookmarkStart w:id="373" w:name="_Toc179632573"/>
      <w:bookmarkStart w:id="374" w:name="_Toc152042331"/>
      <w:bookmarkStart w:id="375" w:name="_Toc246996199"/>
      <w:bookmarkStart w:id="376" w:name="_Toc324404838"/>
      <w:bookmarkStart w:id="377" w:name="_Toc246996942"/>
      <w:bookmarkStart w:id="378" w:name="_Toc152045555"/>
      <w:bookmarkStart w:id="379" w:name="_Toc247085713"/>
      <w:r>
        <w:rPr>
          <w:rFonts w:hint="eastAsia" w:ascii="宋体" w:hAnsi="宋体" w:eastAsia="宋体" w:cs="宋体"/>
          <w:color w:val="auto"/>
          <w:szCs w:val="21"/>
          <w:highlight w:val="none"/>
          <w:lang w:val="en-US" w:eastAsia="zh-CN"/>
        </w:rPr>
        <w:t>3.5.1投标文件应按第九章“投标文件格式”进行编写，如有必要，可以增加附页，作为投标文件的组成部分。其中，投标函在满足招标文件实质性要求的基础上，可以提出比招标文件要求更有利于招标人的承诺。</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3.5.2本次投标不需要提供纸质投标文件，投标人应按照</w:t>
      </w:r>
      <w:r>
        <w:rPr>
          <w:rFonts w:hint="eastAsia" w:ascii="宋体" w:hAnsi="宋体" w:cs="宋体"/>
          <w:color w:val="auto"/>
          <w:szCs w:val="21"/>
          <w:highlight w:val="none"/>
          <w:lang w:val="en-US" w:eastAsia="zh-CN"/>
        </w:rPr>
        <w:t>招标文件</w:t>
      </w:r>
      <w:r>
        <w:rPr>
          <w:rFonts w:hint="eastAsia" w:ascii="宋体" w:hAnsi="宋体" w:eastAsia="宋体" w:cs="宋体"/>
          <w:color w:val="auto"/>
          <w:szCs w:val="21"/>
          <w:highlight w:val="none"/>
          <w:lang w:val="en-US" w:eastAsia="zh-CN"/>
        </w:rPr>
        <w:t>的要求制作、签章、上传加密的电子投标文件。</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3.5.3 投标文件应当对招标文件有关工期、投标有效期、质量要求、技术标准和要求、招标范围等实质性内容作出响应。</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3.5.4 投标人须知前附表规定接受联合体投标的，资格审查资料应包括联合体各方相关情况 。</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3.5.5招标人有权核查投标人在投标文件中提供的资料，若发现投标人以他人名义投标或者以其他方式弄虚作假骗取中标的，中标无效；如果签订合同后发现中标人提供了虚假材料，招标人有权解除合同。</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3.5.6投标文件的制作应满足以下规定：</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招标文件中“签章”是指签字或盖章。在第九章“投标文件格式”中要求签章处，投标人应加盖投标人单位电子印章和法定代表人的个人电子印章/电子签名章或直接上传加盖投标人单位印章和法定代表人的印章（或签字）的原件彩色扫描件。联合体投标的，除联合体协议书外， 投标文件由联合体牵头人按上述规定加盖联合体牵头人单位电子印章和法定代表人的个人电子印章/电子签名章或直接上传加盖联合体牵头人单位印章和法定代表人的印章（或签字）的原件彩色扫描件。</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（3）投标文件制作完成后，投标人应对投标文件进行文件加密，形成加密的投标文件。</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3.5.7 因投标人自身原因而导致</w:t>
      </w:r>
      <w:r>
        <w:rPr>
          <w:rFonts w:hint="eastAsia" w:ascii="宋体" w:hAnsi="宋体" w:cs="宋体"/>
          <w:color w:val="auto"/>
          <w:szCs w:val="21"/>
          <w:highlight w:val="none"/>
          <w:lang w:val="en-US" w:eastAsia="zh-CN"/>
        </w:rPr>
        <w:t>邮箱无法显示其</w:t>
      </w:r>
      <w:r>
        <w:rPr>
          <w:rFonts w:hint="eastAsia" w:ascii="宋体" w:hAnsi="宋体" w:eastAsia="宋体" w:cs="宋体"/>
          <w:color w:val="auto"/>
          <w:szCs w:val="21"/>
          <w:highlight w:val="none"/>
          <w:lang w:val="en-US" w:eastAsia="zh-CN"/>
        </w:rPr>
        <w:t>投标文件</w:t>
      </w:r>
      <w:r>
        <w:rPr>
          <w:rFonts w:hint="eastAsia" w:ascii="宋体" w:hAnsi="宋体" w:cs="宋体"/>
          <w:color w:val="auto"/>
          <w:szCs w:val="21"/>
          <w:highlight w:val="none"/>
          <w:lang w:val="en-US" w:eastAsia="zh-CN"/>
        </w:rPr>
        <w:t>或无法打开投标文件的</w:t>
      </w:r>
      <w:r>
        <w:rPr>
          <w:rFonts w:hint="eastAsia" w:ascii="宋体" w:hAnsi="宋体" w:eastAsia="宋体" w:cs="宋体"/>
          <w:color w:val="auto"/>
          <w:szCs w:val="21"/>
          <w:highlight w:val="none"/>
          <w:lang w:val="en-US" w:eastAsia="zh-CN"/>
        </w:rPr>
        <w:t>，该投标视为无效投标，投标人自行承担由此导致的全部责任。</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3.5.8 投标人中标后须递交与</w:t>
      </w:r>
      <w:r>
        <w:rPr>
          <w:rFonts w:hint="eastAsia" w:ascii="宋体" w:hAnsi="宋体" w:cs="宋体"/>
          <w:color w:val="auto"/>
          <w:szCs w:val="21"/>
          <w:highlight w:val="none"/>
          <w:lang w:val="en-US" w:eastAsia="zh-CN"/>
        </w:rPr>
        <w:t>邮箱递交电子</w:t>
      </w:r>
      <w:r>
        <w:rPr>
          <w:rFonts w:hint="eastAsia" w:ascii="宋体" w:hAnsi="宋体" w:eastAsia="宋体" w:cs="宋体"/>
          <w:color w:val="auto"/>
          <w:szCs w:val="21"/>
          <w:highlight w:val="none"/>
          <w:lang w:val="en-US" w:eastAsia="zh-CN"/>
        </w:rPr>
        <w:t>投标文件完全一致的纸质版投标文件，在领取中标通知书时，一并递交给招标代理机构。</w:t>
      </w:r>
    </w:p>
    <w:p>
      <w:pPr>
        <w:pStyle w:val="7"/>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3.6 备选投标方案</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3.6.1 除投标人须知前附表规定允许外，投标人不得递交备选投标方案，否则其投标将被否决。</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3.6.3 投标人提供两个或两个以上投标报价，或在投标文件中提供一个报价，但同时提供两个或两个以上施工组织设计的，视为提供备选方案。</w:t>
      </w:r>
    </w:p>
    <w:p>
      <w:pPr>
        <w:pStyle w:val="7"/>
        <w:spacing w:beforeLines="50" w:afterLines="50"/>
        <w:ind w:firstLine="482" w:firstLineChars="200"/>
        <w:rPr>
          <w:rFonts w:hint="eastAsia" w:ascii="宋体" w:hAnsi="宋体" w:eastAsia="宋体" w:cs="宋体"/>
          <w:color w:val="auto"/>
          <w:sz w:val="24"/>
          <w:szCs w:val="24"/>
          <w:highlight w:val="none"/>
        </w:rPr>
      </w:pPr>
      <w:bookmarkStart w:id="380" w:name="_Toc35425076"/>
      <w:bookmarkStart w:id="381" w:name="_Toc506107291"/>
      <w:bookmarkStart w:id="382" w:name="_Toc19455"/>
      <w:bookmarkStart w:id="383" w:name="_Toc15058869"/>
      <w:bookmarkStart w:id="384" w:name="_Toc35424910"/>
      <w:bookmarkStart w:id="385" w:name="_Toc78803345"/>
      <w:r>
        <w:rPr>
          <w:rFonts w:hint="eastAsia" w:ascii="宋体" w:hAnsi="宋体" w:eastAsia="宋体" w:cs="宋体"/>
          <w:color w:val="auto"/>
          <w:sz w:val="24"/>
          <w:szCs w:val="24"/>
          <w:highlight w:val="none"/>
        </w:rPr>
        <w:t>4.投标</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pPr>
        <w:pStyle w:val="7"/>
        <w:ind w:firstLine="422" w:firstLineChars="200"/>
        <w:rPr>
          <w:rFonts w:hint="default" w:ascii="宋体" w:hAnsi="宋体" w:eastAsia="宋体" w:cs="宋体"/>
          <w:color w:val="auto"/>
          <w:highlight w:val="none"/>
          <w:lang w:val="en-US" w:eastAsia="zh-CN"/>
        </w:rPr>
      </w:pPr>
      <w:bookmarkStart w:id="386" w:name="_Toc152042332"/>
      <w:bookmarkStart w:id="387" w:name="_Toc60061459"/>
      <w:bookmarkStart w:id="388" w:name="_Toc179632574"/>
      <w:bookmarkStart w:id="389" w:name="_Toc246996200"/>
      <w:bookmarkStart w:id="390" w:name="_Toc95223362"/>
      <w:bookmarkStart w:id="391" w:name="_Toc15058871"/>
      <w:bookmarkStart w:id="392" w:name="_Toc246996943"/>
      <w:bookmarkStart w:id="393" w:name="_Toc296602444"/>
      <w:bookmarkStart w:id="394" w:name="_Toc247085714"/>
      <w:bookmarkStart w:id="395" w:name="_Toc324404839"/>
      <w:bookmarkStart w:id="396" w:name="_Toc506107292"/>
      <w:bookmarkStart w:id="397" w:name="_Toc83301714"/>
      <w:bookmarkStart w:id="398" w:name="_Toc152045556"/>
      <w:bookmarkStart w:id="399" w:name="_Toc144974524"/>
      <w:bookmarkStart w:id="400" w:name="_Toc95223361"/>
      <w:bookmarkStart w:id="401" w:name="_Toc60061458"/>
      <w:bookmarkStart w:id="402" w:name="_Toc83301713"/>
      <w:bookmarkStart w:id="403" w:name="_Toc14473"/>
      <w:bookmarkStart w:id="404" w:name="_Toc35425077"/>
      <w:bookmarkStart w:id="405" w:name="_Toc15058870"/>
      <w:bookmarkStart w:id="406" w:name="_Toc35424911"/>
      <w:bookmarkStart w:id="407" w:name="_Toc78803346"/>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投标文件的</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Pr>
          <w:rFonts w:hint="eastAsia" w:ascii="宋体" w:hAnsi="宋体" w:eastAsia="宋体" w:cs="宋体"/>
          <w:color w:val="auto"/>
          <w:highlight w:val="none"/>
          <w:lang w:val="en-US" w:eastAsia="zh-CN"/>
        </w:rPr>
        <w:t>份数和签署</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4.1.1投标文件份数：正本1份，副本2份；</w:t>
      </w:r>
    </w:p>
    <w:p>
      <w:pPr>
        <w:pStyle w:val="7"/>
        <w:ind w:firstLine="422"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4.1.2按格式文件要求签字或盖章，否则经评委会一致认定且经过招标人同意后, 按照无效投标处理。</w:t>
      </w:r>
    </w:p>
    <w:p>
      <w:pPr>
        <w:pStyle w:val="7"/>
        <w:ind w:firstLine="422"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投标文件</w:t>
      </w:r>
      <w:bookmarkEnd w:id="400"/>
      <w:bookmarkEnd w:id="401"/>
      <w:bookmarkEnd w:id="402"/>
      <w:r>
        <w:rPr>
          <w:rFonts w:hint="eastAsia" w:ascii="宋体" w:hAnsi="宋体" w:eastAsia="宋体" w:cs="宋体"/>
          <w:color w:val="auto"/>
          <w:highlight w:val="none"/>
          <w:lang w:val="en-US" w:eastAsia="zh-CN"/>
        </w:rPr>
        <w:t>提交</w:t>
      </w:r>
    </w:p>
    <w:p>
      <w:pPr>
        <w:spacing w:line="440" w:lineRule="exact"/>
        <w:ind w:firstLine="420" w:firstLineChars="200"/>
        <w:jc w:val="left"/>
        <w:rPr>
          <w:rFonts w:hint="eastAsia" w:ascii="宋体" w:hAnsi="宋体" w:eastAsia="宋体" w:cs="宋体"/>
          <w:color w:val="auto"/>
          <w:szCs w:val="21"/>
          <w:highlight w:val="none"/>
          <w:lang w:val="en-US" w:eastAsia="zh-CN"/>
        </w:rPr>
      </w:pPr>
      <w:bookmarkStart w:id="408" w:name="_Toc95223363"/>
      <w:bookmarkStart w:id="409" w:name="_Toc324404840"/>
      <w:bookmarkStart w:id="410" w:name="_Toc144974525"/>
      <w:bookmarkStart w:id="411" w:name="_Toc179632575"/>
      <w:bookmarkStart w:id="412" w:name="_Toc247085715"/>
      <w:bookmarkStart w:id="413" w:name="_Toc15058872"/>
      <w:bookmarkStart w:id="414" w:name="_Toc246996944"/>
      <w:bookmarkStart w:id="415" w:name="_Toc296602445"/>
      <w:bookmarkStart w:id="416" w:name="_Toc152042333"/>
      <w:bookmarkStart w:id="417" w:name="_Toc60061460"/>
      <w:bookmarkStart w:id="418" w:name="_Toc152045557"/>
      <w:bookmarkStart w:id="419" w:name="_Toc506107293"/>
      <w:bookmarkStart w:id="420" w:name="_Toc246996201"/>
      <w:bookmarkStart w:id="421" w:name="_Toc83301715"/>
      <w:r>
        <w:rPr>
          <w:rFonts w:hint="eastAsia" w:ascii="宋体" w:hAnsi="宋体" w:cs="宋体"/>
          <w:color w:val="auto"/>
          <w:szCs w:val="21"/>
          <w:highlight w:val="none"/>
          <w:lang w:val="en-US" w:eastAsia="zh-CN"/>
        </w:rPr>
        <w:t>4.2.1见</w:t>
      </w:r>
      <w:r>
        <w:rPr>
          <w:rFonts w:hint="eastAsia" w:ascii="宋体" w:hAnsi="宋体" w:eastAsia="宋体" w:cs="宋体"/>
          <w:color w:val="auto"/>
          <w:szCs w:val="21"/>
          <w:highlight w:val="none"/>
          <w:lang w:val="en-US" w:eastAsia="zh-CN"/>
        </w:rPr>
        <w:t>投标人须知前附表</w:t>
      </w:r>
    </w:p>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Pr>
        <w:pStyle w:val="7"/>
        <w:ind w:firstLine="422" w:firstLineChars="200"/>
        <w:rPr>
          <w:rFonts w:hint="eastAsia" w:ascii="宋体" w:hAnsi="宋体" w:eastAsia="宋体" w:cs="宋体"/>
          <w:color w:val="auto"/>
          <w:highlight w:val="none"/>
        </w:rPr>
      </w:pPr>
      <w:bookmarkStart w:id="422" w:name="_Toc95223364"/>
      <w:bookmarkStart w:id="423" w:name="_Toc83301716"/>
      <w:bookmarkStart w:id="424" w:name="_Toc60061461"/>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 xml:space="preserve"> 投标文件的修改与撤回</w:t>
      </w:r>
      <w:bookmarkEnd w:id="422"/>
      <w:bookmarkEnd w:id="423"/>
      <w:bookmarkEnd w:id="424"/>
    </w:p>
    <w:bookmarkEnd w:id="403"/>
    <w:bookmarkEnd w:id="404"/>
    <w:bookmarkEnd w:id="405"/>
    <w:bookmarkEnd w:id="406"/>
    <w:bookmarkEnd w:id="407"/>
    <w:p>
      <w:pPr>
        <w:spacing w:line="440" w:lineRule="exact"/>
        <w:ind w:firstLine="420" w:firstLineChars="200"/>
        <w:jc w:val="left"/>
        <w:rPr>
          <w:rFonts w:hint="eastAsia" w:ascii="宋体" w:hAnsi="宋体" w:eastAsia="宋体" w:cs="宋体"/>
          <w:color w:val="auto"/>
          <w:szCs w:val="21"/>
          <w:highlight w:val="none"/>
          <w:lang w:val="en-US" w:eastAsia="zh-CN"/>
        </w:rPr>
      </w:pPr>
      <w:bookmarkStart w:id="425" w:name="_Toc35425081"/>
      <w:bookmarkStart w:id="426" w:name="_Toc246996946"/>
      <w:bookmarkStart w:id="427" w:name="_Toc247085717"/>
      <w:bookmarkStart w:id="428" w:name="_Toc506107295"/>
      <w:bookmarkStart w:id="429" w:name="_Toc29639"/>
      <w:bookmarkStart w:id="430" w:name="_Toc324404842"/>
      <w:bookmarkStart w:id="431" w:name="_Toc246996203"/>
      <w:bookmarkStart w:id="432" w:name="_Toc35424915"/>
      <w:bookmarkStart w:id="433" w:name="_Toc179632577"/>
      <w:bookmarkStart w:id="434" w:name="_Toc152042335"/>
      <w:bookmarkStart w:id="435" w:name="_Toc152045559"/>
      <w:bookmarkStart w:id="436" w:name="_Toc15058874"/>
      <w:bookmarkStart w:id="437" w:name="_Toc78803348"/>
      <w:bookmarkStart w:id="438" w:name="_Toc144974527"/>
      <w:r>
        <w:rPr>
          <w:rFonts w:hint="eastAsia" w:ascii="宋体" w:hAnsi="宋体" w:cs="宋体"/>
          <w:color w:val="auto"/>
          <w:szCs w:val="21"/>
          <w:highlight w:val="none"/>
          <w:lang w:val="en-US" w:eastAsia="zh-CN"/>
        </w:rPr>
        <w:t>4.3.1见</w:t>
      </w:r>
      <w:r>
        <w:rPr>
          <w:rFonts w:hint="eastAsia" w:ascii="宋体" w:hAnsi="宋体" w:eastAsia="宋体" w:cs="宋体"/>
          <w:color w:val="auto"/>
          <w:szCs w:val="21"/>
          <w:highlight w:val="none"/>
          <w:lang w:val="en-US" w:eastAsia="zh-CN"/>
        </w:rPr>
        <w:t>投标人须知前附表</w:t>
      </w:r>
    </w:p>
    <w:p>
      <w:pPr>
        <w:pStyle w:val="7"/>
        <w:spacing w:beforeLines="50" w:afterLines="50"/>
        <w:ind w:firstLine="482"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5. 开标</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pStyle w:val="7"/>
        <w:ind w:firstLine="422" w:firstLineChars="200"/>
        <w:rPr>
          <w:rFonts w:ascii="宋体" w:hAnsi="宋体" w:eastAsia="宋体" w:cs="宋体"/>
          <w:color w:val="auto"/>
          <w:highlight w:val="none"/>
        </w:rPr>
      </w:pPr>
      <w:bookmarkStart w:id="439" w:name="_Toc152045560"/>
      <w:bookmarkStart w:id="440" w:name="_Toc296602448"/>
      <w:bookmarkStart w:id="441" w:name="_Toc13691"/>
      <w:bookmarkStart w:id="442" w:name="_Toc152042336"/>
      <w:bookmarkStart w:id="443" w:name="_Toc246996947"/>
      <w:bookmarkStart w:id="444" w:name="_Toc35424916"/>
      <w:bookmarkStart w:id="445" w:name="_Toc247085718"/>
      <w:bookmarkStart w:id="446" w:name="_Toc78803349"/>
      <w:bookmarkStart w:id="447" w:name="_Toc324404843"/>
      <w:bookmarkStart w:id="448" w:name="_Toc144974528"/>
      <w:bookmarkStart w:id="449" w:name="_Toc179632578"/>
      <w:bookmarkStart w:id="450" w:name="_Toc246996204"/>
      <w:bookmarkStart w:id="451" w:name="_Toc506107296"/>
      <w:bookmarkStart w:id="452" w:name="_Toc35425082"/>
      <w:bookmarkStart w:id="453" w:name="_Toc15058875"/>
      <w:r>
        <w:rPr>
          <w:rFonts w:hint="eastAsia" w:ascii="宋体" w:hAnsi="宋体" w:eastAsia="宋体" w:cs="宋体"/>
          <w:color w:val="auto"/>
          <w:highlight w:val="none"/>
        </w:rPr>
        <w:t>5.1 开标时间和地点</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adjustRightInd w:val="0"/>
        <w:snapToGrid w:val="0"/>
        <w:spacing w:line="560" w:lineRule="exact"/>
        <w:ind w:firstLine="420" w:firstLineChars="200"/>
        <w:rPr>
          <w:rFonts w:hint="eastAsia" w:ascii="宋体" w:hAnsi="宋体" w:cs="宋体"/>
          <w:color w:val="auto"/>
          <w:szCs w:val="21"/>
          <w:highlight w:val="none"/>
        </w:rPr>
      </w:pPr>
      <w:bookmarkStart w:id="454" w:name="_Toc35424917"/>
      <w:bookmarkStart w:id="455" w:name="_Toc324404844"/>
      <w:bookmarkStart w:id="456" w:name="_Toc35425083"/>
      <w:bookmarkStart w:id="457" w:name="_Toc246996205"/>
      <w:bookmarkStart w:id="458" w:name="_Toc78803350"/>
      <w:bookmarkStart w:id="459" w:name="_Toc32451"/>
      <w:bookmarkStart w:id="460" w:name="_Toc247085719"/>
      <w:bookmarkStart w:id="461" w:name="_Toc152042337"/>
      <w:bookmarkStart w:id="462" w:name="_Toc296602449"/>
      <w:bookmarkStart w:id="463" w:name="_Toc144974529"/>
      <w:bookmarkStart w:id="464" w:name="_Toc179632579"/>
      <w:bookmarkStart w:id="465" w:name="_Toc246996948"/>
      <w:bookmarkStart w:id="466" w:name="_Toc15058876"/>
      <w:bookmarkStart w:id="467" w:name="_Toc152045561"/>
      <w:bookmarkStart w:id="468" w:name="_Toc506107297"/>
      <w:r>
        <w:rPr>
          <w:rFonts w:hint="eastAsia" w:ascii="宋体" w:hAnsi="宋体" w:cs="宋体"/>
          <w:color w:val="auto"/>
          <w:szCs w:val="21"/>
          <w:highlight w:val="none"/>
        </w:rPr>
        <w:t>招标人在第一章“招标公告”规定的投标截止时间前（开标时间）和地点</w:t>
      </w:r>
      <w:r>
        <w:rPr>
          <w:color w:val="auto"/>
          <w:highlight w:val="none"/>
        </w:rPr>
        <w:t>公开开标</w:t>
      </w:r>
      <w:r>
        <w:rPr>
          <w:rFonts w:hint="eastAsia" w:ascii="宋体" w:hAnsi="宋体" w:cs="宋体"/>
          <w:color w:val="auto"/>
          <w:szCs w:val="21"/>
          <w:highlight w:val="none"/>
        </w:rPr>
        <w:t>。</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5.2 开标程序</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pPr>
        <w:adjustRightInd w:val="0"/>
        <w:snapToGrid w:val="0"/>
        <w:spacing w:line="560" w:lineRule="exact"/>
        <w:ind w:firstLine="420" w:firstLineChars="200"/>
        <w:rPr>
          <w:rFonts w:hint="eastAsia" w:ascii="宋体" w:hAnsi="宋体" w:eastAsia="宋体" w:cs="宋体"/>
          <w:color w:val="auto"/>
          <w:szCs w:val="21"/>
          <w:highlight w:val="none"/>
        </w:rPr>
      </w:pPr>
      <w:bookmarkStart w:id="469" w:name="_Toc247085720"/>
      <w:bookmarkStart w:id="470" w:name="_Toc15058884"/>
      <w:bookmarkStart w:id="471" w:name="_Toc246996206"/>
      <w:bookmarkStart w:id="472" w:name="_Toc324404846"/>
      <w:bookmarkStart w:id="473" w:name="_Toc144974530"/>
      <w:bookmarkStart w:id="474" w:name="_Toc179632580"/>
      <w:bookmarkStart w:id="475" w:name="_Toc506107299"/>
      <w:bookmarkStart w:id="476" w:name="_Toc78803352"/>
      <w:bookmarkStart w:id="477" w:name="_Toc20689"/>
      <w:bookmarkStart w:id="478" w:name="_Toc35425085"/>
      <w:bookmarkStart w:id="479" w:name="_Toc152042338"/>
      <w:bookmarkStart w:id="480" w:name="_Toc152045562"/>
      <w:bookmarkStart w:id="481" w:name="_Toc35424919"/>
      <w:bookmarkStart w:id="482" w:name="_Toc246996949"/>
      <w:r>
        <w:rPr>
          <w:rFonts w:hint="eastAsia" w:ascii="宋体" w:hAnsi="宋体" w:eastAsia="宋体" w:cs="宋体"/>
          <w:color w:val="auto"/>
          <w:szCs w:val="21"/>
          <w:highlight w:val="none"/>
        </w:rPr>
        <w:t>开标会议由 滁州市城投工程咨询管理有限公司 主持。</w:t>
      </w:r>
    </w:p>
    <w:p>
      <w:pPr>
        <w:adjustRightInd w:val="0"/>
        <w:snapToGrid w:val="0"/>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（1）宣布开标纪律；</w:t>
      </w:r>
    </w:p>
    <w:p>
      <w:pPr>
        <w:adjustRightInd w:val="0"/>
        <w:snapToGrid w:val="0"/>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（2）宣布采购人、代理机构主持人、见证人等有关人员姓名；</w:t>
      </w:r>
    </w:p>
    <w:p>
      <w:pPr>
        <w:adjustRightInd w:val="0"/>
        <w:snapToGrid w:val="0"/>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（3）公布投标人投标报价、服务期及其他内容，并记录在案；</w:t>
      </w:r>
    </w:p>
    <w:p>
      <w:pPr>
        <w:adjustRightInd w:val="0"/>
        <w:snapToGrid w:val="0"/>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（4）开标结束。</w:t>
      </w:r>
    </w:p>
    <w:p>
      <w:pPr>
        <w:pStyle w:val="7"/>
        <w:spacing w:beforeLines="50" w:afterLines="50"/>
        <w:ind w:firstLine="482"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6. 评标</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pPr>
        <w:pStyle w:val="7"/>
        <w:ind w:firstLine="422" w:firstLineChars="200"/>
        <w:rPr>
          <w:rFonts w:hint="eastAsia" w:ascii="宋体" w:hAnsi="宋体" w:eastAsia="宋体" w:cs="宋体"/>
          <w:color w:val="auto"/>
          <w:highlight w:val="none"/>
        </w:rPr>
      </w:pPr>
      <w:bookmarkStart w:id="483" w:name="_Toc15058885"/>
      <w:bookmarkStart w:id="484" w:name="_Toc246996207"/>
      <w:bookmarkStart w:id="485" w:name="_Toc152042339"/>
      <w:bookmarkStart w:id="486" w:name="_Toc506107300"/>
      <w:bookmarkStart w:id="487" w:name="_Toc324404847"/>
      <w:bookmarkStart w:id="488" w:name="_Toc83301722"/>
      <w:bookmarkStart w:id="489" w:name="_Toc60061467"/>
      <w:bookmarkStart w:id="490" w:name="_Toc296602452"/>
      <w:bookmarkStart w:id="491" w:name="_Toc246996950"/>
      <w:bookmarkStart w:id="492" w:name="_Toc247085721"/>
      <w:bookmarkStart w:id="493" w:name="_Toc179632581"/>
      <w:bookmarkStart w:id="494" w:name="_Toc95223370"/>
      <w:bookmarkStart w:id="495" w:name="_Toc152045563"/>
      <w:bookmarkStart w:id="496" w:name="_Toc144974531"/>
      <w:bookmarkStart w:id="497" w:name="_Toc35425087"/>
      <w:bookmarkStart w:id="498" w:name="_Toc15058886"/>
      <w:bookmarkStart w:id="499" w:name="_Toc12948"/>
      <w:bookmarkStart w:id="500" w:name="_Toc152045564"/>
      <w:bookmarkStart w:id="501" w:name="_Toc506107301"/>
      <w:bookmarkStart w:id="502" w:name="_Toc246996951"/>
      <w:bookmarkStart w:id="503" w:name="_Toc247085722"/>
      <w:bookmarkStart w:id="504" w:name="_Toc324404848"/>
      <w:bookmarkStart w:id="505" w:name="_Toc152042340"/>
      <w:bookmarkStart w:id="506" w:name="_Toc35424921"/>
      <w:bookmarkStart w:id="507" w:name="_Toc78803354"/>
      <w:bookmarkStart w:id="508" w:name="_Toc144974532"/>
      <w:bookmarkStart w:id="509" w:name="_Toc179632582"/>
      <w:bookmarkStart w:id="510" w:name="_Toc296602453"/>
      <w:bookmarkStart w:id="511" w:name="_Toc246996208"/>
      <w:r>
        <w:rPr>
          <w:rFonts w:hint="eastAsia" w:ascii="宋体" w:hAnsi="宋体" w:eastAsia="宋体" w:cs="宋体"/>
          <w:color w:val="auto"/>
          <w:highlight w:val="none"/>
        </w:rPr>
        <w:t>6.1 评标委员会</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6.1.2 评标委员会成员有下列情形之一的，应当回避：</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（1）项目主管部门或行政监督管理部门的工作人员；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（2）与竞争主体主要负责人或者授权参与交易的代理人有近亲属关系的人员；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（3）竞争主体的工作人员或者退休人员；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（4）竞争主体的上级主管、控股或者被控股单位等相关利害关系的人员，或任职单位与竞争主体单位为同一法定代表人的。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（5）存在其他法定回避情形的</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项目实施主体及其子公司、下属单位、上级主管部门或者控股公司的工作人员或者退休人员不得以专家身份参与本单位或者代理项目的评标评审。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评标委员会或评审机构成员有前两款规定情形的，应当主动提出回避；已经进入的应当更换，被更换的成员评标评审意见无效。</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6.1.3评标过程中，评标委员会成员有回避事由、擅离职守或因健康等原因不能继续评标的， 招标人有权更换。被更换的评标委员会成员作出的评审结论无效，由更换后的评标委员会成员重新进行评审。</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6.2 评标原则</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评标活动遵循公平、公正、科学和择优的原则。</w:t>
      </w:r>
    </w:p>
    <w:p>
      <w:pPr>
        <w:pStyle w:val="7"/>
        <w:ind w:firstLine="422" w:firstLineChars="200"/>
        <w:rPr>
          <w:rFonts w:ascii="宋体" w:hAnsi="宋体" w:eastAsia="宋体" w:cs="宋体"/>
          <w:color w:val="auto"/>
          <w:highlight w:val="none"/>
        </w:rPr>
      </w:pPr>
      <w:bookmarkStart w:id="512" w:name="_Toc15058887"/>
      <w:bookmarkStart w:id="513" w:name="_Toc246996209"/>
      <w:bookmarkStart w:id="514" w:name="_Toc506107302"/>
      <w:bookmarkStart w:id="515" w:name="_Toc144974533"/>
      <w:bookmarkStart w:id="516" w:name="_Toc78803355"/>
      <w:bookmarkStart w:id="517" w:name="_Toc35424922"/>
      <w:bookmarkStart w:id="518" w:name="_Toc152045565"/>
      <w:bookmarkStart w:id="519" w:name="_Toc152042341"/>
      <w:bookmarkStart w:id="520" w:name="_Toc179632583"/>
      <w:bookmarkStart w:id="521" w:name="_Toc35425088"/>
      <w:bookmarkStart w:id="522" w:name="_Toc247085723"/>
      <w:bookmarkStart w:id="523" w:name="_Toc14892"/>
      <w:bookmarkStart w:id="524" w:name="_Toc324404849"/>
      <w:bookmarkStart w:id="525" w:name="_Toc246996952"/>
      <w:bookmarkStart w:id="526" w:name="_Toc296602454"/>
      <w:r>
        <w:rPr>
          <w:rFonts w:hint="eastAsia" w:ascii="宋体" w:hAnsi="宋体" w:eastAsia="宋体" w:cs="宋体"/>
          <w:color w:val="auto"/>
          <w:highlight w:val="none"/>
        </w:rPr>
        <w:t>6.3 评标</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spacing w:line="440" w:lineRule="exact"/>
        <w:ind w:firstLine="420" w:firstLineChars="200"/>
        <w:jc w:val="left"/>
        <w:rPr>
          <w:rFonts w:ascii="宋体" w:hAnsi="宋体" w:cs="宋体"/>
          <w:color w:val="auto"/>
          <w:szCs w:val="21"/>
          <w:highlight w:val="none"/>
        </w:rPr>
      </w:pPr>
      <w:bookmarkStart w:id="527" w:name="_Toc152045566"/>
      <w:bookmarkStart w:id="528" w:name="_Toc246996210"/>
      <w:bookmarkStart w:id="529" w:name="_Toc152042342"/>
      <w:bookmarkStart w:id="530" w:name="_Toc144974534"/>
      <w:bookmarkStart w:id="531" w:name="_Toc179632584"/>
      <w:bookmarkStart w:id="532" w:name="_Toc246996953"/>
      <w:bookmarkStart w:id="533" w:name="_Toc247085724"/>
      <w:bookmarkStart w:id="534" w:name="_Toc324404850"/>
      <w:r>
        <w:rPr>
          <w:rFonts w:hint="eastAsia" w:ascii="宋体" w:hAnsi="宋体" w:cs="宋体"/>
          <w:color w:val="auto"/>
          <w:szCs w:val="21"/>
          <w:highlight w:val="none"/>
        </w:rPr>
        <w:t>6.3.1评标委员会按照第</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章“评标办法”规定的方法、评审因素、标准和程序对投标文件进行评审。第</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章“评标办法”没有规定的方法、评审因素和标准，不作为评标依据。</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6.3.2评标完成后，评标委员会应向招标人提交书面评标报告和中标候选人名单。评标委员会推荐中标候选人的人数见投标人须知前附表。</w:t>
      </w:r>
    </w:p>
    <w:p>
      <w:pPr>
        <w:pStyle w:val="7"/>
        <w:spacing w:beforeLines="50" w:afterLines="50"/>
        <w:ind w:firstLine="482" w:firstLineChars="200"/>
        <w:rPr>
          <w:rFonts w:ascii="宋体" w:hAnsi="宋体" w:eastAsia="宋体" w:cs="宋体"/>
          <w:color w:val="auto"/>
          <w:sz w:val="24"/>
          <w:szCs w:val="24"/>
          <w:highlight w:val="none"/>
        </w:rPr>
      </w:pPr>
      <w:bookmarkStart w:id="535" w:name="_Toc15058888"/>
      <w:bookmarkStart w:id="536" w:name="_Toc35424923"/>
      <w:bookmarkStart w:id="537" w:name="_Toc26182"/>
      <w:bookmarkStart w:id="538" w:name="_Toc506107303"/>
      <w:bookmarkStart w:id="539" w:name="_Toc35425089"/>
      <w:bookmarkStart w:id="540" w:name="_Toc78803356"/>
      <w:r>
        <w:rPr>
          <w:rFonts w:hint="eastAsia" w:ascii="宋体" w:hAnsi="宋体" w:eastAsia="宋体" w:cs="宋体"/>
          <w:color w:val="auto"/>
          <w:sz w:val="24"/>
          <w:szCs w:val="24"/>
          <w:highlight w:val="none"/>
        </w:rPr>
        <w:t>7. 合同授予</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p>
    <w:p>
      <w:pPr>
        <w:pStyle w:val="7"/>
        <w:ind w:firstLine="422" w:firstLineChars="200"/>
        <w:rPr>
          <w:rFonts w:hint="eastAsia" w:ascii="宋体" w:hAnsi="宋体" w:eastAsia="宋体" w:cs="宋体"/>
          <w:color w:val="auto"/>
          <w:highlight w:val="none"/>
        </w:rPr>
      </w:pPr>
      <w:bookmarkStart w:id="541" w:name="_Toc60061472"/>
      <w:bookmarkStart w:id="542" w:name="_Toc15058890"/>
      <w:bookmarkStart w:id="543" w:name="_Toc324404852"/>
      <w:bookmarkStart w:id="544" w:name="_Toc296602457"/>
      <w:bookmarkStart w:id="545" w:name="_Toc506107305"/>
      <w:bookmarkStart w:id="546" w:name="_Toc83301726"/>
      <w:bookmarkStart w:id="547" w:name="_Toc95223374"/>
      <w:bookmarkStart w:id="548" w:name="_Toc35424926"/>
      <w:bookmarkStart w:id="549" w:name="_Toc27040"/>
      <w:bookmarkStart w:id="550" w:name="_Toc8261"/>
      <w:bookmarkStart w:id="551" w:name="_Toc78803359"/>
      <w:bookmarkStart w:id="552" w:name="_Toc35425092"/>
      <w:bookmarkStart w:id="553" w:name="_Toc506107306"/>
      <w:bookmarkStart w:id="554" w:name="_Toc14692"/>
      <w:bookmarkStart w:id="555" w:name="_Toc179632586"/>
      <w:bookmarkStart w:id="556" w:name="_Toc144974536"/>
      <w:bookmarkStart w:id="557" w:name="_Toc296602458"/>
      <w:bookmarkStart w:id="558" w:name="_Toc247085726"/>
      <w:bookmarkStart w:id="559" w:name="_Toc246996955"/>
      <w:bookmarkStart w:id="560" w:name="_Toc152045568"/>
      <w:bookmarkStart w:id="561" w:name="_Toc15058891"/>
      <w:bookmarkStart w:id="562" w:name="_Toc246996212"/>
      <w:bookmarkStart w:id="563" w:name="_Toc35425093"/>
      <w:bookmarkStart w:id="564" w:name="_Toc324404853"/>
      <w:bookmarkStart w:id="565" w:name="_Toc152042344"/>
      <w:bookmarkStart w:id="566" w:name="_Toc35424927"/>
      <w:r>
        <w:rPr>
          <w:rFonts w:hint="eastAsia" w:ascii="宋体" w:hAnsi="宋体" w:eastAsia="宋体" w:cs="宋体"/>
          <w:color w:val="auto"/>
          <w:highlight w:val="none"/>
        </w:rPr>
        <w:t>7.1 中标候选人公示</w:t>
      </w:r>
      <w:bookmarkEnd w:id="541"/>
      <w:bookmarkEnd w:id="542"/>
      <w:bookmarkEnd w:id="543"/>
      <w:bookmarkEnd w:id="544"/>
      <w:bookmarkEnd w:id="545"/>
      <w:bookmarkEnd w:id="546"/>
      <w:bookmarkEnd w:id="547"/>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招标人在收到评标报告之日起3日内，按照投标人须知前附表规定的公示媒介和期限依法公示。中标候选人公示期不得少于3日。</w:t>
      </w:r>
    </w:p>
    <w:p>
      <w:pPr>
        <w:pStyle w:val="7"/>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7.2 评标结果异议</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投标人或其他利害关系人对评标结果有异议的，应在中标候选人公示期内提出。招标人将在收到异议之日起3日内作出答复；作出答复前，将暂停招标投标活动。</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 xml:space="preserve"> </w:t>
      </w:r>
      <w:bookmarkEnd w:id="548"/>
      <w:bookmarkEnd w:id="549"/>
      <w:bookmarkEnd w:id="550"/>
      <w:bookmarkEnd w:id="551"/>
      <w:bookmarkEnd w:id="552"/>
      <w:r>
        <w:rPr>
          <w:rFonts w:hint="eastAsia" w:ascii="宋体" w:hAnsi="宋体" w:eastAsia="宋体" w:cs="宋体"/>
          <w:color w:val="auto"/>
          <w:highlight w:val="none"/>
        </w:rPr>
        <w:t>定标</w:t>
      </w:r>
    </w:p>
    <w:p>
      <w:pPr>
        <w:spacing w:line="440" w:lineRule="exact"/>
        <w:ind w:firstLine="420" w:firstLineChars="200"/>
        <w:jc w:val="left"/>
        <w:rPr>
          <w:rFonts w:hint="eastAsia" w:ascii="宋体" w:hAnsi="宋体" w:eastAsia="宋体" w:cs="宋体"/>
          <w:color w:val="auto"/>
          <w:szCs w:val="21"/>
          <w:highlight w:val="none"/>
        </w:rPr>
      </w:pPr>
      <w:bookmarkStart w:id="567" w:name="_Toc4204"/>
      <w:bookmarkStart w:id="568" w:name="_Toc78803360"/>
      <w:r>
        <w:rPr>
          <w:rFonts w:hint="eastAsia" w:ascii="宋体" w:hAnsi="宋体" w:eastAsia="宋体" w:cs="宋体"/>
          <w:color w:val="auto"/>
          <w:szCs w:val="21"/>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7"/>
        <w:ind w:firstLine="422" w:firstLineChars="200"/>
        <w:rPr>
          <w:rFonts w:hint="eastAsia" w:ascii="宋体" w:hAnsi="宋体" w:eastAsia="宋体" w:cs="宋体"/>
          <w:color w:val="auto"/>
          <w:highlight w:val="none"/>
        </w:rPr>
      </w:pPr>
      <w:bookmarkStart w:id="569" w:name="_Toc83301728"/>
      <w:bookmarkStart w:id="570" w:name="_Toc95223376"/>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 xml:space="preserve"> 中标通知</w:t>
      </w:r>
      <w:bookmarkEnd w:id="569"/>
      <w:bookmarkEnd w:id="570"/>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在本招标文件规定的投标有效期内，招标人向中标人发出中标通知书，同时将中标结果通知未中标的投标人。</w:t>
      </w:r>
    </w:p>
    <w:p>
      <w:pPr>
        <w:pStyle w:val="7"/>
        <w:ind w:firstLine="422" w:firstLineChars="200"/>
        <w:rPr>
          <w:rFonts w:hint="eastAsia" w:ascii="宋体" w:hAnsi="宋体" w:eastAsia="宋体" w:cs="宋体"/>
          <w:color w:val="auto"/>
          <w:highlight w:val="none"/>
        </w:rPr>
      </w:pPr>
      <w:bookmarkStart w:id="571" w:name="_Toc95223377"/>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 xml:space="preserve">5 </w:t>
      </w:r>
      <w:r>
        <w:rPr>
          <w:rFonts w:hint="eastAsia" w:ascii="宋体" w:hAnsi="宋体" w:eastAsia="宋体" w:cs="宋体"/>
          <w:color w:val="auto"/>
          <w:highlight w:val="none"/>
        </w:rPr>
        <w:t>中标结果公示</w:t>
      </w:r>
      <w:bookmarkEnd w:id="571"/>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招标人在确定中标人之日起3日内，按照投标人须知前附表规定的公示媒介和期限公示中标结果。</w:t>
      </w:r>
    </w:p>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Pr>
        <w:pStyle w:val="7"/>
        <w:ind w:firstLine="422" w:firstLineChars="200"/>
        <w:rPr>
          <w:rFonts w:ascii="宋体" w:hAnsi="宋体" w:eastAsia="宋体" w:cs="宋体"/>
          <w:color w:val="auto"/>
          <w:highlight w:val="none"/>
        </w:rPr>
      </w:pPr>
      <w:bookmarkStart w:id="572" w:name="_Toc179632587"/>
      <w:bookmarkStart w:id="573" w:name="_Toc152042345"/>
      <w:bookmarkStart w:id="574" w:name="_Toc247085727"/>
      <w:bookmarkStart w:id="575" w:name="_Toc506107307"/>
      <w:bookmarkStart w:id="576" w:name="_Toc296602459"/>
      <w:bookmarkStart w:id="577" w:name="_Toc35424929"/>
      <w:bookmarkStart w:id="578" w:name="_Toc78803362"/>
      <w:bookmarkStart w:id="579" w:name="_Toc246996213"/>
      <w:bookmarkStart w:id="580" w:name="_Toc246996956"/>
      <w:bookmarkStart w:id="581" w:name="_Toc144974537"/>
      <w:bookmarkStart w:id="582" w:name="_Toc25501"/>
      <w:bookmarkStart w:id="583" w:name="_Toc15058892"/>
      <w:bookmarkStart w:id="584" w:name="_Toc324404854"/>
      <w:bookmarkStart w:id="585" w:name="_Toc152045569"/>
      <w:bookmarkStart w:id="586" w:name="_Toc35425095"/>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 xml:space="preserve"> 履约担保</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pPr>
        <w:spacing w:line="440" w:lineRule="exact"/>
        <w:ind w:firstLine="420" w:firstLineChars="200"/>
        <w:jc w:val="left"/>
        <w:rPr>
          <w:rFonts w:hint="eastAsia" w:ascii="宋体" w:hAnsi="宋体" w:eastAsia="宋体" w:cs="宋体"/>
          <w:color w:val="auto"/>
          <w:szCs w:val="21"/>
          <w:highlight w:val="none"/>
        </w:rPr>
      </w:pPr>
      <w:bookmarkStart w:id="587" w:name="_Toc152042346"/>
      <w:bookmarkStart w:id="588" w:name="_Toc247085728"/>
      <w:bookmarkStart w:id="589" w:name="_Toc506107308"/>
      <w:bookmarkStart w:id="590" w:name="_Toc144974538"/>
      <w:bookmarkStart w:id="591" w:name="_Toc78803363"/>
      <w:bookmarkStart w:id="592" w:name="_Toc11010"/>
      <w:bookmarkStart w:id="593" w:name="_Toc179632588"/>
      <w:bookmarkStart w:id="594" w:name="_Toc324404855"/>
      <w:bookmarkStart w:id="595" w:name="_Toc152045570"/>
      <w:bookmarkStart w:id="596" w:name="_Toc246996957"/>
      <w:bookmarkStart w:id="597" w:name="_Toc246996214"/>
      <w:bookmarkStart w:id="598" w:name="_Toc15058893"/>
      <w:bookmarkStart w:id="599" w:name="_Toc296602460"/>
      <w:bookmarkStart w:id="600" w:name="_Toc35425096"/>
      <w:bookmarkStart w:id="601" w:name="_Toc35424930"/>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在签订合同前，中标人应按投标人须知前附表规定的担保形式和招标文件第五章“合同条款及格式”规定的或者事先经过招标人书面认可的履约担保格式向招标人提交履约担保。联合体中标的，其履约担保应符合投标人须知前附表规定的金额、担保形式和招标文件第五章“合同条款及格式”规定的履约担保格式要求。</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.2 中标人不能按本章第7.</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.1项要求提交履约担保的，视为放弃中标，其投标保证金不予退还，给招标人造成的损失超过投标保证金数额的，中标人还应当对超过部分予以赔偿。</w:t>
      </w:r>
    </w:p>
    <w:p>
      <w:pPr>
        <w:pStyle w:val="7"/>
        <w:ind w:firstLine="422" w:firstLineChars="200"/>
        <w:rPr>
          <w:rFonts w:ascii="宋体" w:hAnsi="宋体" w:eastAsia="宋体" w:cs="宋体"/>
          <w:color w:val="auto"/>
          <w:highlight w:val="none"/>
        </w:rPr>
      </w:pPr>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 xml:space="preserve"> 签订合同</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pPr>
        <w:wordWrap w:val="0"/>
        <w:spacing w:line="440" w:lineRule="exact"/>
        <w:ind w:firstLine="420" w:firstLineChars="200"/>
        <w:jc w:val="left"/>
        <w:rPr>
          <w:rFonts w:hint="eastAsia" w:ascii="宋体" w:hAnsi="宋体" w:eastAsia="宋体" w:cs="宋体"/>
          <w:bCs/>
          <w:color w:val="auto"/>
          <w:szCs w:val="21"/>
          <w:highlight w:val="none"/>
        </w:rPr>
      </w:pPr>
      <w:bookmarkStart w:id="602" w:name="_Toc506107309"/>
      <w:bookmarkStart w:id="603" w:name="_Toc324404856"/>
      <w:bookmarkStart w:id="604" w:name="_Toc15058894"/>
      <w:r>
        <w:rPr>
          <w:rFonts w:hint="eastAsia" w:ascii="宋体" w:hAnsi="宋体" w:eastAsia="宋体" w:cs="宋体"/>
          <w:bCs/>
          <w:color w:val="auto"/>
          <w:szCs w:val="21"/>
          <w:highlight w:val="none"/>
        </w:rPr>
        <w:t>7.</w:t>
      </w:r>
      <w:r>
        <w:rPr>
          <w:rFonts w:hint="eastAsia" w:ascii="宋体" w:hAnsi="宋体" w:eastAsia="宋体" w:cs="宋体"/>
          <w:bCs/>
          <w:color w:val="auto"/>
          <w:szCs w:val="21"/>
          <w:highlight w:val="none"/>
          <w:lang w:val="en-US" w:eastAsia="zh-CN"/>
        </w:rPr>
        <w:t>7</w:t>
      </w:r>
      <w:r>
        <w:rPr>
          <w:rFonts w:hint="eastAsia" w:ascii="宋体" w:hAnsi="宋体" w:eastAsia="宋体" w:cs="宋体"/>
          <w:bCs/>
          <w:color w:val="auto"/>
          <w:szCs w:val="21"/>
          <w:highlight w:val="none"/>
        </w:rPr>
        <w:t>.1本招标工程的施工合同将授予按本须知第7.</w:t>
      </w:r>
      <w:r>
        <w:rPr>
          <w:rFonts w:hint="eastAsia" w:ascii="宋体" w:hAnsi="宋体" w:eastAsia="宋体" w:cs="宋体"/>
          <w:bCs/>
          <w:color w:val="auto"/>
          <w:szCs w:val="21"/>
          <w:highlight w:val="none"/>
          <w:lang w:val="en-US" w:eastAsia="zh-CN"/>
        </w:rPr>
        <w:t>4</w:t>
      </w:r>
      <w:r>
        <w:rPr>
          <w:rFonts w:hint="eastAsia" w:ascii="宋体" w:hAnsi="宋体" w:eastAsia="宋体" w:cs="宋体"/>
          <w:bCs/>
          <w:color w:val="auto"/>
          <w:szCs w:val="21"/>
          <w:highlight w:val="none"/>
        </w:rPr>
        <w:t xml:space="preserve">条规定所确定的中标人。 </w:t>
      </w:r>
    </w:p>
    <w:p>
      <w:pPr>
        <w:wordWrap w:val="0"/>
        <w:spacing w:line="440" w:lineRule="exact"/>
        <w:ind w:firstLine="420" w:firstLineChars="200"/>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7.</w:t>
      </w:r>
      <w:r>
        <w:rPr>
          <w:rFonts w:hint="eastAsia" w:ascii="宋体" w:hAnsi="宋体" w:eastAsia="宋体" w:cs="宋体"/>
          <w:bCs/>
          <w:color w:val="auto"/>
          <w:szCs w:val="21"/>
          <w:highlight w:val="none"/>
          <w:lang w:val="en-US" w:eastAsia="zh-CN"/>
        </w:rPr>
        <w:t>7</w:t>
      </w:r>
      <w:r>
        <w:rPr>
          <w:rFonts w:hint="eastAsia" w:ascii="宋体" w:hAnsi="宋体" w:eastAsia="宋体" w:cs="宋体"/>
          <w:bCs/>
          <w:color w:val="auto"/>
          <w:szCs w:val="21"/>
          <w:highlight w:val="none"/>
        </w:rPr>
        <w:t>.2招标人和中标人应当自中标通知书发出之日起30天内，根据招标文件和中标人的投标文件订立书面合同。中标人无正当理由拒签合同的，在签订合同时向招标人提出附加条件，或不按照招标文件要求提交履约保证金的，招标人取消其中标资格；给招标人造成的损失的，中标人应当予以赔偿。</w:t>
      </w:r>
    </w:p>
    <w:p>
      <w:pPr>
        <w:wordWrap w:val="0"/>
        <w:spacing w:line="440" w:lineRule="exact"/>
        <w:ind w:firstLine="420" w:firstLineChars="200"/>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7.</w:t>
      </w:r>
      <w:r>
        <w:rPr>
          <w:rFonts w:hint="eastAsia" w:ascii="宋体" w:hAnsi="宋体" w:eastAsia="宋体" w:cs="宋体"/>
          <w:bCs/>
          <w:color w:val="auto"/>
          <w:szCs w:val="21"/>
          <w:highlight w:val="none"/>
          <w:lang w:val="en-US" w:eastAsia="zh-CN"/>
        </w:rPr>
        <w:t>7</w:t>
      </w:r>
      <w:r>
        <w:rPr>
          <w:rFonts w:hint="eastAsia" w:ascii="宋体" w:hAnsi="宋体" w:eastAsia="宋体" w:cs="宋体"/>
          <w:bCs/>
          <w:color w:val="auto"/>
          <w:szCs w:val="21"/>
          <w:highlight w:val="none"/>
        </w:rPr>
        <w:t>.3发出中标通知书后，招标单位无正当理由拒签合同的，给中标人造成损失的，还应当赔偿损失。</w:t>
      </w:r>
    </w:p>
    <w:p>
      <w:pPr>
        <w:wordWrap w:val="0"/>
        <w:spacing w:line="440" w:lineRule="exact"/>
        <w:ind w:firstLine="420" w:firstLineChars="200"/>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7.</w:t>
      </w:r>
      <w:r>
        <w:rPr>
          <w:rFonts w:hint="eastAsia" w:ascii="宋体" w:hAnsi="宋体" w:eastAsia="宋体" w:cs="宋体"/>
          <w:bCs/>
          <w:color w:val="auto"/>
          <w:szCs w:val="21"/>
          <w:highlight w:val="none"/>
          <w:lang w:val="en-US" w:eastAsia="zh-CN"/>
        </w:rPr>
        <w:t>7</w:t>
      </w:r>
      <w:r>
        <w:rPr>
          <w:rFonts w:hint="eastAsia" w:ascii="宋体" w:hAnsi="宋体" w:eastAsia="宋体" w:cs="宋体"/>
          <w:bCs/>
          <w:color w:val="auto"/>
          <w:szCs w:val="21"/>
          <w:highlight w:val="none"/>
        </w:rPr>
        <w:t>.4除法定情形外，建设工程合同履行期间项目经理（建造师）不得更换。项目经理（建造师）确需变更的，应根据招标文件要求，变更后的项目经理（建造师）不低于投标文件中拟派项目经理（建造师）的资格条件。</w:t>
      </w:r>
    </w:p>
    <w:bookmarkEnd w:id="602"/>
    <w:bookmarkEnd w:id="603"/>
    <w:bookmarkEnd w:id="604"/>
    <w:p>
      <w:pPr>
        <w:pStyle w:val="7"/>
        <w:spacing w:beforeLines="50" w:afterLines="50"/>
        <w:ind w:firstLine="422" w:firstLineChars="200"/>
        <w:rPr>
          <w:rFonts w:hint="eastAsia" w:ascii="宋体" w:hAnsi="宋体" w:eastAsia="宋体" w:cs="宋体"/>
          <w:color w:val="auto"/>
          <w:highlight w:val="none"/>
        </w:rPr>
      </w:pPr>
      <w:bookmarkStart w:id="605" w:name="_Toc144974539"/>
      <w:bookmarkStart w:id="606" w:name="_Toc95223381"/>
      <w:bookmarkStart w:id="607" w:name="_Toc152042347"/>
      <w:bookmarkStart w:id="608" w:name="_Toc83301732"/>
      <w:bookmarkStart w:id="609" w:name="_Toc179632589"/>
      <w:bookmarkStart w:id="610" w:name="_Toc60061478"/>
      <w:bookmarkStart w:id="611" w:name="_Toc152045571"/>
      <w:bookmarkStart w:id="612" w:name="_Toc35425097"/>
      <w:bookmarkStart w:id="613" w:name="_Toc31686"/>
      <w:bookmarkStart w:id="614" w:name="_Toc25375"/>
      <w:bookmarkStart w:id="615" w:name="_Toc35424931"/>
      <w:bookmarkStart w:id="616" w:name="_Toc78803367"/>
      <w:bookmarkStart w:id="617" w:name="_Toc26974"/>
      <w:bookmarkStart w:id="618" w:name="_Toc324404864"/>
      <w:bookmarkStart w:id="619" w:name="_Toc506107317"/>
      <w:bookmarkStart w:id="620" w:name="_Toc35424939"/>
      <w:bookmarkStart w:id="621" w:name="_Toc35425105"/>
      <w:bookmarkStart w:id="622" w:name="_Toc15058902"/>
      <w:bookmarkStart w:id="623" w:name="_Toc296602475"/>
      <w:r>
        <w:rPr>
          <w:rFonts w:hint="eastAsia" w:ascii="宋体" w:hAnsi="宋体" w:eastAsia="宋体" w:cs="宋体"/>
          <w:color w:val="auto"/>
          <w:highlight w:val="none"/>
        </w:rPr>
        <w:t>8. 重新招标和不再招标</w:t>
      </w:r>
      <w:bookmarkEnd w:id="605"/>
      <w:bookmarkEnd w:id="606"/>
      <w:bookmarkEnd w:id="607"/>
      <w:bookmarkEnd w:id="608"/>
      <w:bookmarkEnd w:id="609"/>
      <w:bookmarkEnd w:id="610"/>
      <w:bookmarkEnd w:id="611"/>
    </w:p>
    <w:p>
      <w:pPr>
        <w:pStyle w:val="7"/>
        <w:ind w:firstLine="422" w:firstLineChars="200"/>
        <w:rPr>
          <w:rFonts w:hint="eastAsia" w:ascii="宋体" w:hAnsi="宋体" w:eastAsia="宋体" w:cs="宋体"/>
          <w:color w:val="auto"/>
          <w:highlight w:val="none"/>
        </w:rPr>
      </w:pPr>
      <w:bookmarkStart w:id="624" w:name="_Toc83301733"/>
      <w:bookmarkStart w:id="625" w:name="_Toc60061479"/>
      <w:bookmarkStart w:id="626" w:name="_Toc95223382"/>
      <w:bookmarkStart w:id="627" w:name="_Toc152042348"/>
      <w:bookmarkStart w:id="628" w:name="_Toc179632590"/>
      <w:bookmarkStart w:id="629" w:name="_Toc152045572"/>
      <w:bookmarkStart w:id="630" w:name="_Toc144974540"/>
      <w:r>
        <w:rPr>
          <w:rFonts w:hint="eastAsia" w:ascii="宋体" w:hAnsi="宋体" w:eastAsia="宋体" w:cs="宋体"/>
          <w:color w:val="auto"/>
          <w:highlight w:val="none"/>
        </w:rPr>
        <w:t>8.1 重新招标</w:t>
      </w:r>
      <w:bookmarkEnd w:id="624"/>
      <w:bookmarkEnd w:id="625"/>
      <w:bookmarkEnd w:id="626"/>
      <w:bookmarkEnd w:id="627"/>
      <w:bookmarkEnd w:id="628"/>
      <w:bookmarkEnd w:id="629"/>
      <w:bookmarkEnd w:id="630"/>
    </w:p>
    <w:p>
      <w:pPr>
        <w:adjustRightInd w:val="0"/>
        <w:snapToGrid w:val="0"/>
        <w:spacing w:line="600" w:lineRule="exact"/>
        <w:ind w:firstLine="359" w:firstLineChars="171"/>
        <w:rPr>
          <w:rFonts w:hint="eastAsia" w:ascii="宋体" w:hAnsi="宋体" w:cs="宋体"/>
          <w:color w:val="auto"/>
          <w:highlight w:val="none"/>
        </w:rPr>
      </w:pPr>
      <w:r>
        <w:rPr>
          <w:rFonts w:hint="eastAsia" w:ascii="宋体" w:hAnsi="宋体" w:cs="宋体"/>
          <w:color w:val="auto"/>
          <w:highlight w:val="none"/>
        </w:rPr>
        <w:t>依法必须招标的项目有下列情形之一的，招标人将重新招标：</w:t>
      </w:r>
    </w:p>
    <w:p>
      <w:pPr>
        <w:adjustRightInd w:val="0"/>
        <w:snapToGrid w:val="0"/>
        <w:spacing w:line="600" w:lineRule="exact"/>
        <w:ind w:firstLine="359" w:firstLineChars="171"/>
        <w:rPr>
          <w:rFonts w:hint="eastAsia" w:ascii="宋体" w:hAnsi="宋体" w:cs="宋体"/>
          <w:color w:val="auto"/>
          <w:highlight w:val="none"/>
        </w:rPr>
      </w:pPr>
      <w:r>
        <w:rPr>
          <w:rFonts w:hint="eastAsia" w:ascii="宋体" w:hAnsi="宋体" w:cs="宋体"/>
          <w:color w:val="auto"/>
          <w:highlight w:val="none"/>
        </w:rPr>
        <w:t>（1）投标截止时间止，投标人少于3个的；</w:t>
      </w:r>
    </w:p>
    <w:p>
      <w:pPr>
        <w:adjustRightInd w:val="0"/>
        <w:snapToGrid w:val="0"/>
        <w:spacing w:line="600" w:lineRule="exact"/>
        <w:ind w:firstLine="359" w:firstLineChars="171"/>
        <w:rPr>
          <w:rFonts w:hint="eastAsia" w:ascii="宋体" w:hAnsi="宋体" w:cs="宋体"/>
          <w:color w:val="auto"/>
          <w:highlight w:val="none"/>
        </w:rPr>
      </w:pPr>
      <w:r>
        <w:rPr>
          <w:rFonts w:hint="eastAsia" w:ascii="宋体" w:hAnsi="宋体" w:cs="宋体"/>
          <w:color w:val="auto"/>
          <w:highlight w:val="none"/>
        </w:rPr>
        <w:t>（2）经评标委员会评审后否决所有投标的；</w:t>
      </w:r>
    </w:p>
    <w:p>
      <w:pPr>
        <w:adjustRightInd w:val="0"/>
        <w:snapToGrid w:val="0"/>
        <w:spacing w:line="600" w:lineRule="exact"/>
        <w:ind w:firstLine="359" w:firstLineChars="171"/>
        <w:rPr>
          <w:rFonts w:hint="eastAsia" w:ascii="宋体" w:hAnsi="宋体" w:cs="宋体"/>
          <w:bCs/>
          <w:snapToGrid w:val="0"/>
          <w:color w:val="auto"/>
          <w:kern w:val="0"/>
          <w:szCs w:val="21"/>
          <w:highlight w:val="none"/>
        </w:rPr>
      </w:pPr>
      <w:r>
        <w:rPr>
          <w:rFonts w:hint="eastAsia" w:ascii="宋体" w:hAnsi="宋体" w:cs="宋体"/>
          <w:bCs/>
          <w:snapToGrid w:val="0"/>
          <w:color w:val="auto"/>
          <w:kern w:val="0"/>
          <w:szCs w:val="21"/>
          <w:highlight w:val="none"/>
        </w:rPr>
        <w:t>（3）中标候选人均未与招标人签订合同的；</w:t>
      </w:r>
    </w:p>
    <w:p>
      <w:pPr>
        <w:adjustRightInd w:val="0"/>
        <w:snapToGrid w:val="0"/>
        <w:spacing w:line="600" w:lineRule="exact"/>
        <w:ind w:firstLine="359" w:firstLineChars="171"/>
        <w:rPr>
          <w:rFonts w:hint="eastAsia" w:ascii="宋体" w:hAnsi="宋体" w:cs="宋体"/>
          <w:bCs/>
          <w:snapToGrid w:val="0"/>
          <w:color w:val="auto"/>
          <w:kern w:val="0"/>
          <w:szCs w:val="21"/>
          <w:highlight w:val="none"/>
        </w:rPr>
      </w:pPr>
      <w:r>
        <w:rPr>
          <w:rFonts w:hint="eastAsia" w:ascii="宋体" w:hAnsi="宋体" w:cs="宋体"/>
          <w:bCs/>
          <w:snapToGrid w:val="0"/>
          <w:color w:val="auto"/>
          <w:kern w:val="0"/>
          <w:szCs w:val="21"/>
          <w:highlight w:val="none"/>
        </w:rPr>
        <w:t>（4）法律、法规规定的其他情形。</w:t>
      </w:r>
    </w:p>
    <w:p>
      <w:pPr>
        <w:pStyle w:val="7"/>
        <w:ind w:firstLine="422" w:firstLineChars="200"/>
        <w:rPr>
          <w:rFonts w:hint="eastAsia" w:ascii="宋体" w:hAnsi="宋体" w:eastAsia="宋体" w:cs="宋体"/>
          <w:color w:val="auto"/>
          <w:highlight w:val="none"/>
        </w:rPr>
      </w:pPr>
      <w:bookmarkStart w:id="631" w:name="_Toc144974541"/>
      <w:bookmarkStart w:id="632" w:name="_Toc95223383"/>
      <w:bookmarkStart w:id="633" w:name="_Toc83301734"/>
      <w:bookmarkStart w:id="634" w:name="_Toc152042349"/>
      <w:bookmarkStart w:id="635" w:name="_Toc60061480"/>
      <w:bookmarkStart w:id="636" w:name="_Toc152045573"/>
      <w:bookmarkStart w:id="637" w:name="_Toc179632591"/>
      <w:r>
        <w:rPr>
          <w:rFonts w:hint="eastAsia" w:ascii="宋体" w:hAnsi="宋体" w:eastAsia="宋体" w:cs="宋体"/>
          <w:color w:val="auto"/>
          <w:highlight w:val="none"/>
        </w:rPr>
        <w:t>8.2 不再招标</w:t>
      </w:r>
      <w:bookmarkEnd w:id="631"/>
      <w:bookmarkEnd w:id="632"/>
      <w:bookmarkEnd w:id="633"/>
      <w:bookmarkEnd w:id="634"/>
      <w:bookmarkEnd w:id="635"/>
      <w:bookmarkEnd w:id="636"/>
      <w:bookmarkEnd w:id="637"/>
    </w:p>
    <w:p>
      <w:pPr>
        <w:adjustRightInd w:val="0"/>
        <w:snapToGrid w:val="0"/>
        <w:spacing w:line="56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重新招标后投标人仍少于3个或者所有投标被否决的，属于必须审批或核准的工程建设项目，经原审批或核准部门批准后不再进行招标。</w:t>
      </w:r>
    </w:p>
    <w:p>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9. 纪律和监督</w:t>
      </w:r>
      <w:bookmarkEnd w:id="612"/>
      <w:bookmarkEnd w:id="613"/>
      <w:bookmarkEnd w:id="614"/>
      <w:bookmarkEnd w:id="615"/>
      <w:bookmarkEnd w:id="616"/>
      <w:bookmarkEnd w:id="617"/>
    </w:p>
    <w:p>
      <w:pPr>
        <w:pStyle w:val="7"/>
        <w:ind w:firstLine="422" w:firstLineChars="200"/>
        <w:rPr>
          <w:rFonts w:ascii="宋体" w:hAnsi="宋体" w:eastAsia="宋体" w:cs="宋体"/>
          <w:color w:val="auto"/>
          <w:highlight w:val="none"/>
        </w:rPr>
      </w:pPr>
      <w:bookmarkStart w:id="638" w:name="_Toc324404857"/>
      <w:bookmarkStart w:id="639" w:name="_Toc15058895"/>
      <w:bookmarkStart w:id="640" w:name="_Toc35424932"/>
      <w:bookmarkStart w:id="641" w:name="_Toc78803368"/>
      <w:bookmarkStart w:id="642" w:name="_Toc179632593"/>
      <w:bookmarkStart w:id="643" w:name="_Toc247085733"/>
      <w:bookmarkStart w:id="644" w:name="_Toc296590983"/>
      <w:bookmarkStart w:id="645" w:name="_Toc246996962"/>
      <w:bookmarkStart w:id="646" w:name="_Toc15607"/>
      <w:bookmarkStart w:id="647" w:name="_Toc506107310"/>
      <w:bookmarkStart w:id="648" w:name="_Toc296602462"/>
      <w:bookmarkStart w:id="649" w:name="_Toc144974543"/>
      <w:bookmarkStart w:id="650" w:name="_Toc35425098"/>
      <w:bookmarkStart w:id="651" w:name="_Toc152045575"/>
      <w:bookmarkStart w:id="652" w:name="_Toc246996219"/>
      <w:bookmarkStart w:id="653" w:name="_Toc2855"/>
      <w:bookmarkStart w:id="654" w:name="_Toc152042351"/>
      <w:r>
        <w:rPr>
          <w:rFonts w:hint="eastAsia" w:ascii="宋体" w:hAnsi="宋体" w:eastAsia="宋体" w:cs="宋体"/>
          <w:color w:val="auto"/>
          <w:highlight w:val="none"/>
        </w:rPr>
        <w:t>9.1 对招标人的纪律要求</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招标人不得泄</w:t>
      </w:r>
      <w:r>
        <w:rPr>
          <w:rFonts w:hint="eastAsia" w:ascii="宋体" w:hAnsi="宋体" w:cs="宋体"/>
          <w:color w:val="auto"/>
          <w:szCs w:val="21"/>
          <w:highlight w:val="none"/>
          <w:lang w:val="en-US" w:eastAsia="zh-CN"/>
        </w:rPr>
        <w:t>露</w:t>
      </w:r>
      <w:r>
        <w:rPr>
          <w:rFonts w:hint="eastAsia" w:ascii="宋体" w:hAnsi="宋体" w:cs="宋体"/>
          <w:color w:val="auto"/>
          <w:szCs w:val="21"/>
          <w:highlight w:val="none"/>
        </w:rPr>
        <w:t>招标投标活动中应当保密的情况和资料，不得与投标人串通损害国家利益、社会公共利益或者他人合法权益。</w:t>
      </w:r>
    </w:p>
    <w:p>
      <w:pPr>
        <w:pStyle w:val="7"/>
        <w:ind w:firstLine="422" w:firstLineChars="200"/>
        <w:rPr>
          <w:rFonts w:ascii="宋体" w:hAnsi="宋体" w:eastAsia="宋体" w:cs="宋体"/>
          <w:color w:val="auto"/>
          <w:highlight w:val="none"/>
        </w:rPr>
      </w:pPr>
      <w:bookmarkStart w:id="655" w:name="_Toc246996963"/>
      <w:bookmarkStart w:id="656" w:name="_Toc246996220"/>
      <w:bookmarkStart w:id="657" w:name="_Toc152042352"/>
      <w:bookmarkStart w:id="658" w:name="_Toc506107311"/>
      <w:bookmarkStart w:id="659" w:name="_Toc152045576"/>
      <w:bookmarkStart w:id="660" w:name="_Toc32177"/>
      <w:bookmarkStart w:id="661" w:name="_Toc144974544"/>
      <w:bookmarkStart w:id="662" w:name="_Toc35424933"/>
      <w:bookmarkStart w:id="663" w:name="_Toc296602463"/>
      <w:bookmarkStart w:id="664" w:name="_Toc15058896"/>
      <w:bookmarkStart w:id="665" w:name="_Toc19779"/>
      <w:bookmarkStart w:id="666" w:name="_Toc247085734"/>
      <w:bookmarkStart w:id="667" w:name="_Toc35425099"/>
      <w:bookmarkStart w:id="668" w:name="_Toc179632594"/>
      <w:bookmarkStart w:id="669" w:name="_Toc78803369"/>
      <w:bookmarkStart w:id="670" w:name="_Toc324404858"/>
      <w:r>
        <w:rPr>
          <w:rFonts w:hint="eastAsia" w:ascii="宋体" w:hAnsi="宋体" w:eastAsia="宋体" w:cs="宋体"/>
          <w:color w:val="auto"/>
          <w:highlight w:val="none"/>
        </w:rPr>
        <w:t>9.2 对投标人的纪律要求</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ind w:firstLine="422" w:firstLineChars="200"/>
        <w:rPr>
          <w:rFonts w:ascii="宋体" w:hAnsi="宋体" w:eastAsia="宋体" w:cs="宋体"/>
          <w:color w:val="auto"/>
          <w:highlight w:val="none"/>
        </w:rPr>
      </w:pPr>
      <w:bookmarkStart w:id="671" w:name="_Toc324404859"/>
      <w:bookmarkStart w:id="672" w:name="_Toc506107312"/>
      <w:bookmarkStart w:id="673" w:name="_Toc246996964"/>
      <w:bookmarkStart w:id="674" w:name="_Toc296602464"/>
      <w:bookmarkStart w:id="675" w:name="_Toc15058897"/>
      <w:bookmarkStart w:id="676" w:name="_Toc246996221"/>
      <w:bookmarkStart w:id="677" w:name="_Toc152045577"/>
      <w:bookmarkStart w:id="678" w:name="_Toc179632595"/>
      <w:bookmarkStart w:id="679" w:name="_Toc12564"/>
      <w:bookmarkStart w:id="680" w:name="_Toc13043"/>
      <w:bookmarkStart w:id="681" w:name="_Toc247085735"/>
      <w:bookmarkStart w:id="682" w:name="_Toc152042353"/>
      <w:bookmarkStart w:id="683" w:name="_Toc35424934"/>
      <w:bookmarkStart w:id="684" w:name="_Toc144974545"/>
      <w:bookmarkStart w:id="685" w:name="_Toc78803370"/>
      <w:bookmarkStart w:id="686" w:name="_Toc35425100"/>
      <w:r>
        <w:rPr>
          <w:rFonts w:hint="eastAsia" w:ascii="宋体" w:hAnsi="宋体" w:eastAsia="宋体" w:cs="宋体"/>
          <w:color w:val="auto"/>
          <w:highlight w:val="none"/>
        </w:rPr>
        <w:t>9.3 对评标委员会成员的纪律要求</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ind w:firstLine="422" w:firstLineChars="200"/>
        <w:rPr>
          <w:rFonts w:ascii="宋体" w:hAnsi="宋体" w:eastAsia="宋体" w:cs="宋体"/>
          <w:color w:val="auto"/>
          <w:highlight w:val="none"/>
        </w:rPr>
      </w:pPr>
      <w:bookmarkStart w:id="687" w:name="_Toc32214"/>
      <w:bookmarkStart w:id="688" w:name="_Toc246996222"/>
      <w:bookmarkStart w:id="689" w:name="_Toc152045578"/>
      <w:bookmarkStart w:id="690" w:name="_Toc35424935"/>
      <w:bookmarkStart w:id="691" w:name="_Toc296602465"/>
      <w:bookmarkStart w:id="692" w:name="_Toc78803371"/>
      <w:bookmarkStart w:id="693" w:name="_Toc35425101"/>
      <w:bookmarkStart w:id="694" w:name="_Toc246996965"/>
      <w:bookmarkStart w:id="695" w:name="_Toc324404860"/>
      <w:bookmarkStart w:id="696" w:name="_Toc15058898"/>
      <w:bookmarkStart w:id="697" w:name="_Toc506107313"/>
      <w:bookmarkStart w:id="698" w:name="_Toc18329"/>
      <w:bookmarkStart w:id="699" w:name="_Toc179632596"/>
      <w:bookmarkStart w:id="700" w:name="_Toc247085736"/>
      <w:bookmarkStart w:id="701" w:name="_Toc152042354"/>
      <w:bookmarkStart w:id="702" w:name="_Toc144974546"/>
      <w:r>
        <w:rPr>
          <w:rFonts w:hint="eastAsia" w:ascii="宋体" w:hAnsi="宋体" w:eastAsia="宋体" w:cs="宋体"/>
          <w:color w:val="auto"/>
          <w:highlight w:val="none"/>
        </w:rPr>
        <w:t>9.4 对与评标活动有关的工作人员的纪律要求</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pPr>
        <w:spacing w:line="440" w:lineRule="exact"/>
        <w:ind w:firstLine="420" w:firstLineChars="200"/>
        <w:jc w:val="left"/>
        <w:rPr>
          <w:rFonts w:ascii="宋体" w:hAnsi="宋体" w:cs="宋体"/>
          <w:color w:val="auto"/>
          <w:szCs w:val="21"/>
          <w:highlight w:val="none"/>
        </w:rPr>
      </w:pPr>
      <w:bookmarkStart w:id="703" w:name="_Toc152042355"/>
      <w:r>
        <w:rPr>
          <w:rFonts w:hint="eastAsia" w:ascii="宋体" w:hAnsi="宋体" w:cs="宋体"/>
          <w:color w:val="auto"/>
          <w:szCs w:val="21"/>
          <w:highlight w:val="none"/>
        </w:rPr>
        <w:t>与评标活动有关的工作人员不得收受他人的财物或者其他好处，不得向他人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对投标文件的评审和比较、中标候选人的推荐情况以及评标有关的其他情况。在评标活动中，与评标活动有关的工作人员不得擅离职守，影响评标程序正常进行。</w:t>
      </w:r>
      <w:bookmarkEnd w:id="703"/>
    </w:p>
    <w:p>
      <w:pPr>
        <w:pStyle w:val="7"/>
        <w:ind w:firstLine="422" w:firstLineChars="200"/>
        <w:rPr>
          <w:rFonts w:ascii="宋体" w:hAnsi="宋体" w:eastAsia="宋体" w:cs="宋体"/>
          <w:color w:val="auto"/>
          <w:highlight w:val="none"/>
        </w:rPr>
      </w:pPr>
      <w:bookmarkStart w:id="704" w:name="_Toc296602466"/>
      <w:bookmarkStart w:id="705" w:name="_Toc179632597"/>
      <w:bookmarkStart w:id="706" w:name="_Toc324404861"/>
      <w:bookmarkStart w:id="707" w:name="_Toc35424936"/>
      <w:bookmarkStart w:id="708" w:name="_Toc246996966"/>
      <w:bookmarkStart w:id="709" w:name="_Toc78803372"/>
      <w:bookmarkStart w:id="710" w:name="_Toc247085737"/>
      <w:bookmarkStart w:id="711" w:name="_Toc35425102"/>
      <w:bookmarkStart w:id="712" w:name="_Toc246996223"/>
      <w:bookmarkStart w:id="713" w:name="_Toc506107314"/>
      <w:bookmarkStart w:id="714" w:name="_Toc2811"/>
      <w:bookmarkStart w:id="715" w:name="_Toc152042356"/>
      <w:bookmarkStart w:id="716" w:name="_Toc152045579"/>
      <w:bookmarkStart w:id="717" w:name="_Toc23607"/>
      <w:bookmarkStart w:id="718" w:name="_Toc15058899"/>
      <w:r>
        <w:rPr>
          <w:rFonts w:hint="eastAsia" w:ascii="宋体" w:hAnsi="宋体" w:eastAsia="宋体" w:cs="宋体"/>
          <w:color w:val="auto"/>
          <w:highlight w:val="none"/>
        </w:rPr>
        <w:t>9.5 投诉</w:t>
      </w:r>
      <w:bookmarkEnd w:id="702"/>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pPr>
        <w:spacing w:line="440" w:lineRule="exact"/>
        <w:ind w:firstLine="420" w:firstLineChars="200"/>
        <w:jc w:val="left"/>
        <w:rPr>
          <w:rFonts w:hint="eastAsia" w:ascii="宋体" w:hAnsi="宋体" w:eastAsia="宋体" w:cs="宋体"/>
          <w:color w:val="auto"/>
          <w:szCs w:val="21"/>
          <w:highlight w:val="none"/>
        </w:rPr>
      </w:pPr>
      <w:bookmarkStart w:id="719" w:name="_Toc31643"/>
      <w:bookmarkStart w:id="720" w:name="_Toc246996967"/>
      <w:bookmarkStart w:id="721" w:name="_Toc506107315"/>
      <w:bookmarkStart w:id="722" w:name="_Toc247085738"/>
      <w:bookmarkStart w:id="723" w:name="_Toc324404862"/>
      <w:bookmarkStart w:id="724" w:name="_Toc15058900"/>
      <w:bookmarkStart w:id="725" w:name="_Toc78803373"/>
      <w:bookmarkStart w:id="726" w:name="_Toc144974547"/>
      <w:bookmarkStart w:id="727" w:name="_Toc20669"/>
      <w:bookmarkStart w:id="728" w:name="_Toc35425103"/>
      <w:bookmarkStart w:id="729" w:name="_Toc152045580"/>
      <w:bookmarkStart w:id="730" w:name="_Toc246996224"/>
      <w:bookmarkStart w:id="731" w:name="_Toc152042357"/>
      <w:bookmarkStart w:id="732" w:name="_Toc16463"/>
      <w:bookmarkStart w:id="733" w:name="_Toc179632598"/>
      <w:bookmarkStart w:id="734" w:name="_Toc35424937"/>
      <w:r>
        <w:rPr>
          <w:rFonts w:hint="eastAsia" w:ascii="宋体" w:hAnsi="宋体" w:eastAsia="宋体" w:cs="宋体"/>
          <w:color w:val="auto"/>
          <w:szCs w:val="21"/>
          <w:highlight w:val="none"/>
        </w:rPr>
        <w:t>9.5.1投标人或者其他利害关系人认为招标投标活动违反法律、法规和规章规定的，有权向相关行政监督部门投诉。投诉应当有明确的请求和必要的证明材料。</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9.5.2投标人和其他利害关系人对招标文件、开标和评标结果事项投诉的，应当按照投标人须知的规定先向招标人提出异议。异议答复期间不计算在第9.5.1项规定的期限内。</w:t>
      </w:r>
    </w:p>
    <w:p>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10.需要补充的其他内容</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p>
    <w:p>
      <w:pPr>
        <w:spacing w:line="440" w:lineRule="exact"/>
        <w:ind w:firstLine="420" w:firstLineChars="200"/>
        <w:jc w:val="left"/>
        <w:rPr>
          <w:rFonts w:ascii="宋体" w:hAnsi="宋体" w:cs="宋体"/>
          <w:color w:val="auto"/>
          <w:szCs w:val="21"/>
          <w:highlight w:val="none"/>
        </w:rPr>
      </w:pPr>
      <w:bookmarkStart w:id="735" w:name="_Toc15058901"/>
      <w:r>
        <w:rPr>
          <w:rFonts w:hint="eastAsia" w:ascii="宋体" w:hAnsi="宋体" w:cs="宋体"/>
          <w:color w:val="auto"/>
          <w:szCs w:val="21"/>
          <w:highlight w:val="none"/>
        </w:rPr>
        <w:t>需要补充的其他内容：见投标人须知前附表。</w:t>
      </w:r>
      <w:bookmarkEnd w:id="735"/>
    </w:p>
    <w:p>
      <w:pPr>
        <w:spacing w:line="440" w:lineRule="exact"/>
        <w:jc w:val="left"/>
        <w:rPr>
          <w:rFonts w:ascii="宋体" w:hAnsi="宋体" w:cs="宋体"/>
          <w:color w:val="auto"/>
          <w:szCs w:val="21"/>
          <w:highlight w:val="none"/>
        </w:rPr>
      </w:pPr>
    </w:p>
    <w:p>
      <w:pPr>
        <w:pageBreakBefore/>
        <w:spacing w:beforeLines="80" w:afterLines="80" w:line="440" w:lineRule="exact"/>
        <w:jc w:val="center"/>
        <w:outlineLvl w:val="1"/>
        <w:rPr>
          <w:rFonts w:ascii="宋体"/>
          <w:b/>
          <w:color w:val="auto"/>
          <w:sz w:val="32"/>
          <w:szCs w:val="32"/>
          <w:highlight w:val="none"/>
        </w:rPr>
      </w:pPr>
      <w:bookmarkStart w:id="736" w:name="_Toc78803375"/>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章  资格审查</w:t>
      </w:r>
      <w:bookmarkEnd w:id="618"/>
      <w:r>
        <w:rPr>
          <w:rFonts w:hint="eastAsia" w:ascii="宋体"/>
          <w:b/>
          <w:color w:val="auto"/>
          <w:sz w:val="32"/>
          <w:szCs w:val="32"/>
          <w:highlight w:val="none"/>
        </w:rPr>
        <w:t>办法</w:t>
      </w:r>
      <w:bookmarkEnd w:id="619"/>
      <w:bookmarkEnd w:id="620"/>
      <w:bookmarkEnd w:id="621"/>
      <w:bookmarkEnd w:id="622"/>
      <w:bookmarkEnd w:id="736"/>
    </w:p>
    <w:p>
      <w:pPr>
        <w:spacing w:beforeLines="50" w:afterLines="50" w:line="440" w:lineRule="exact"/>
        <w:jc w:val="center"/>
        <w:rPr>
          <w:rFonts w:ascii="宋体" w:hAnsi="宋体" w:cs="宋体"/>
          <w:b/>
          <w:bCs/>
          <w:color w:val="auto"/>
          <w:sz w:val="28"/>
          <w:szCs w:val="22"/>
          <w:highlight w:val="none"/>
        </w:rPr>
      </w:pPr>
      <w:bookmarkStart w:id="737" w:name="_Toc35425106"/>
      <w:bookmarkStart w:id="738" w:name="_Toc506107318"/>
      <w:bookmarkStart w:id="739" w:name="_Toc15058903"/>
      <w:bookmarkStart w:id="740" w:name="_Toc324404865"/>
      <w:bookmarkStart w:id="741" w:name="_Toc35424940"/>
      <w:r>
        <w:rPr>
          <w:rFonts w:hint="eastAsia" w:ascii="宋体" w:hAnsi="宋体" w:cs="宋体"/>
          <w:b/>
          <w:bCs/>
          <w:color w:val="auto"/>
          <w:sz w:val="28"/>
          <w:szCs w:val="22"/>
          <w:highlight w:val="none"/>
        </w:rPr>
        <w:t>资格审查办法前附表</w:t>
      </w:r>
      <w:bookmarkEnd w:id="737"/>
      <w:bookmarkEnd w:id="738"/>
      <w:bookmarkEnd w:id="739"/>
      <w:bookmarkEnd w:id="740"/>
      <w:bookmarkEnd w:id="741"/>
    </w:p>
    <w:tbl>
      <w:tblPr>
        <w:tblStyle w:val="47"/>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183"/>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3" w:type="dxa"/>
            <w:gridSpan w:val="2"/>
            <w:noWrap/>
            <w:vAlign w:val="center"/>
          </w:tcPr>
          <w:p>
            <w:pPr>
              <w:spacing w:line="440" w:lineRule="exact"/>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6183" w:type="dxa"/>
            <w:noWrap/>
            <w:vAlign w:val="center"/>
          </w:tcPr>
          <w:p>
            <w:pPr>
              <w:spacing w:line="440" w:lineRule="exact"/>
              <w:jc w:val="center"/>
              <w:rPr>
                <w:rFonts w:ascii="宋体" w:hAnsi="宋体" w:cs="宋体"/>
                <w:b/>
                <w:bCs/>
                <w:color w:val="auto"/>
                <w:szCs w:val="21"/>
                <w:highlight w:val="none"/>
              </w:rPr>
            </w:pPr>
            <w:r>
              <w:rPr>
                <w:rFonts w:hint="eastAsia" w:ascii="宋体" w:hAnsi="宋体" w:cs="宋体"/>
                <w:b/>
                <w:bCs/>
                <w:color w:val="auto"/>
                <w:szCs w:val="21"/>
                <w:highlight w:val="none"/>
              </w:rPr>
              <w:t>审查内容</w:t>
            </w:r>
          </w:p>
        </w:tc>
        <w:tc>
          <w:tcPr>
            <w:tcW w:w="1860" w:type="dxa"/>
            <w:noWrap/>
            <w:vAlign w:val="center"/>
          </w:tcPr>
          <w:p>
            <w:pPr>
              <w:spacing w:line="440" w:lineRule="exact"/>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ign w:val="center"/>
          </w:tcPr>
          <w:p>
            <w:pPr>
              <w:spacing w:line="440" w:lineRule="exact"/>
              <w:jc w:val="center"/>
              <w:rPr>
                <w:rFonts w:ascii="宋体" w:hAnsi="宋体" w:cs="宋体"/>
                <w:color w:val="auto"/>
                <w:szCs w:val="21"/>
                <w:highlight w:val="none"/>
              </w:rPr>
            </w:pPr>
            <w:r>
              <w:rPr>
                <w:rFonts w:hint="eastAsia" w:ascii="宋体" w:hAnsi="宋体" w:cs="宋体"/>
                <w:color w:val="auto"/>
                <w:szCs w:val="21"/>
                <w:highlight w:val="none"/>
              </w:rPr>
              <w:t>1</w:t>
            </w:r>
          </w:p>
        </w:tc>
        <w:tc>
          <w:tcPr>
            <w:tcW w:w="1258" w:type="dxa"/>
            <w:vMerge w:val="restart"/>
            <w:noWrap/>
            <w:vAlign w:val="center"/>
          </w:tcPr>
          <w:p>
            <w:pPr>
              <w:spacing w:line="440" w:lineRule="exact"/>
              <w:jc w:val="center"/>
              <w:rPr>
                <w:rFonts w:ascii="宋体" w:hAnsi="宋体" w:cs="宋体"/>
                <w:b/>
                <w:bCs/>
                <w:color w:val="auto"/>
                <w:szCs w:val="21"/>
                <w:highlight w:val="none"/>
              </w:rPr>
            </w:pPr>
            <w:r>
              <w:rPr>
                <w:rFonts w:hint="eastAsia" w:ascii="宋体" w:hAnsi="宋体" w:cs="宋体"/>
                <w:b/>
                <w:bCs/>
                <w:color w:val="auto"/>
                <w:szCs w:val="21"/>
                <w:highlight w:val="none"/>
              </w:rPr>
              <w:t>审查资料</w:t>
            </w:r>
          </w:p>
        </w:tc>
        <w:tc>
          <w:tcPr>
            <w:tcW w:w="6183" w:type="dxa"/>
            <w:noWrap/>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法定代表人身份证明文件和本人有效身份证(或法定代表人授权委托书和委托代理人有效身份证)</w:t>
            </w:r>
          </w:p>
        </w:tc>
        <w:tc>
          <w:tcPr>
            <w:tcW w:w="1860" w:type="dxa"/>
            <w:noWrap/>
            <w:vAlign w:val="center"/>
          </w:tcPr>
          <w:p>
            <w:pPr>
              <w:spacing w:line="440" w:lineRule="exact"/>
              <w:jc w:val="center"/>
              <w:rPr>
                <w:rFonts w:ascii="宋体" w:hAnsi="宋体" w:cs="宋体"/>
                <w:b/>
                <w:color w:val="auto"/>
                <w:szCs w:val="21"/>
                <w:highlight w:val="none"/>
              </w:rPr>
            </w:pPr>
            <w:r>
              <w:rPr>
                <w:rFonts w:hint="eastAsia" w:ascii="宋体" w:hAnsi="宋体" w:cs="宋体"/>
                <w:b/>
                <w:color w:val="auto"/>
                <w:szCs w:val="21"/>
                <w:highlight w:val="none"/>
              </w:rPr>
              <w:t>检验电子标书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pPr>
              <w:spacing w:line="440" w:lineRule="exact"/>
              <w:jc w:val="center"/>
              <w:rPr>
                <w:rFonts w:ascii="宋体" w:hAnsi="宋体" w:cs="宋体"/>
                <w:color w:val="auto"/>
                <w:szCs w:val="21"/>
                <w:highlight w:val="none"/>
              </w:rPr>
            </w:pPr>
          </w:p>
        </w:tc>
        <w:tc>
          <w:tcPr>
            <w:tcW w:w="1258" w:type="dxa"/>
            <w:vMerge w:val="continue"/>
            <w:noWrap/>
            <w:vAlign w:val="center"/>
          </w:tcPr>
          <w:p>
            <w:pPr>
              <w:spacing w:line="440" w:lineRule="exact"/>
              <w:jc w:val="center"/>
              <w:rPr>
                <w:rFonts w:ascii="宋体" w:hAnsi="宋体" w:cs="宋体"/>
                <w:b/>
                <w:bCs/>
                <w:color w:val="auto"/>
                <w:szCs w:val="21"/>
                <w:highlight w:val="none"/>
              </w:rPr>
            </w:pPr>
          </w:p>
        </w:tc>
        <w:tc>
          <w:tcPr>
            <w:tcW w:w="6183" w:type="dxa"/>
            <w:noWrap/>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诚信投标承诺书</w:t>
            </w:r>
          </w:p>
        </w:tc>
        <w:tc>
          <w:tcPr>
            <w:tcW w:w="1860" w:type="dxa"/>
            <w:vMerge w:val="restart"/>
            <w:noWrap/>
            <w:vAlign w:val="center"/>
          </w:tcPr>
          <w:p>
            <w:pPr>
              <w:spacing w:line="440" w:lineRule="exact"/>
              <w:jc w:val="center"/>
              <w:rPr>
                <w:rFonts w:ascii="宋体" w:hAnsi="宋体" w:cs="宋体"/>
                <w:b/>
                <w:color w:val="auto"/>
                <w:szCs w:val="21"/>
                <w:highlight w:val="none"/>
              </w:rPr>
            </w:pPr>
            <w:r>
              <w:rPr>
                <w:rFonts w:hint="eastAsia" w:ascii="宋体" w:hAnsi="宋体" w:cs="宋体"/>
                <w:b/>
                <w:color w:val="auto"/>
                <w:szCs w:val="21"/>
                <w:highlight w:val="none"/>
              </w:rPr>
              <w:t>检验电子标书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pPr>
              <w:spacing w:line="440" w:lineRule="exact"/>
              <w:jc w:val="center"/>
              <w:rPr>
                <w:rFonts w:ascii="宋体" w:hAnsi="宋体" w:cs="宋体"/>
                <w:color w:val="auto"/>
                <w:szCs w:val="21"/>
                <w:highlight w:val="none"/>
              </w:rPr>
            </w:pPr>
          </w:p>
        </w:tc>
        <w:tc>
          <w:tcPr>
            <w:tcW w:w="1258" w:type="dxa"/>
            <w:vMerge w:val="continue"/>
            <w:noWrap/>
            <w:vAlign w:val="center"/>
          </w:tcPr>
          <w:p>
            <w:pPr>
              <w:spacing w:line="440" w:lineRule="exact"/>
              <w:jc w:val="center"/>
              <w:rPr>
                <w:rFonts w:ascii="宋体" w:hAnsi="宋体" w:cs="宋体"/>
                <w:b/>
                <w:bCs/>
                <w:color w:val="auto"/>
                <w:szCs w:val="21"/>
                <w:highlight w:val="none"/>
              </w:rPr>
            </w:pPr>
          </w:p>
        </w:tc>
        <w:tc>
          <w:tcPr>
            <w:tcW w:w="6183" w:type="dxa"/>
            <w:noWrap/>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企业法人营业执照</w:t>
            </w:r>
          </w:p>
        </w:tc>
        <w:tc>
          <w:tcPr>
            <w:tcW w:w="1860" w:type="dxa"/>
            <w:vMerge w:val="continue"/>
            <w:noWrap/>
            <w:vAlign w:val="center"/>
          </w:tcPr>
          <w:p>
            <w:pPr>
              <w:spacing w:line="440" w:lineRule="exact"/>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ign w:val="center"/>
          </w:tcPr>
          <w:p>
            <w:pPr>
              <w:spacing w:line="440" w:lineRule="exact"/>
              <w:jc w:val="center"/>
              <w:rPr>
                <w:rFonts w:ascii="宋体" w:hAnsi="宋体" w:cs="宋体"/>
                <w:color w:val="auto"/>
                <w:szCs w:val="21"/>
                <w:highlight w:val="none"/>
              </w:rPr>
            </w:pPr>
          </w:p>
        </w:tc>
        <w:tc>
          <w:tcPr>
            <w:tcW w:w="1258" w:type="dxa"/>
            <w:vMerge w:val="continue"/>
            <w:noWrap/>
            <w:vAlign w:val="center"/>
          </w:tcPr>
          <w:p>
            <w:pPr>
              <w:spacing w:line="440" w:lineRule="exact"/>
              <w:jc w:val="center"/>
              <w:rPr>
                <w:rFonts w:ascii="宋体" w:hAnsi="宋体" w:cs="宋体"/>
                <w:b/>
                <w:bCs/>
                <w:color w:val="auto"/>
                <w:szCs w:val="21"/>
                <w:highlight w:val="none"/>
              </w:rPr>
            </w:pPr>
          </w:p>
        </w:tc>
        <w:tc>
          <w:tcPr>
            <w:tcW w:w="6183" w:type="dxa"/>
            <w:noWrap/>
            <w:vAlign w:val="center"/>
          </w:tcPr>
          <w:p>
            <w:pPr>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企业资质证书</w:t>
            </w:r>
            <w:r>
              <w:rPr>
                <w:rFonts w:hint="eastAsia" w:ascii="宋体" w:hAnsi="宋体" w:cs="宋体"/>
                <w:color w:val="auto"/>
                <w:szCs w:val="21"/>
                <w:highlight w:val="none"/>
                <w:lang w:val="en-US" w:eastAsia="zh-CN"/>
              </w:rPr>
              <w:t>及</w:t>
            </w:r>
            <w:r>
              <w:rPr>
                <w:rFonts w:hint="eastAsia" w:ascii="宋体" w:hAnsi="宋体" w:cs="宋体"/>
                <w:color w:val="auto"/>
                <w:szCs w:val="21"/>
                <w:highlight w:val="none"/>
              </w:rPr>
              <w:t>企业安全生产许可证</w:t>
            </w:r>
          </w:p>
        </w:tc>
        <w:tc>
          <w:tcPr>
            <w:tcW w:w="1860" w:type="dxa"/>
            <w:vMerge w:val="continue"/>
            <w:noWrap/>
            <w:vAlign w:val="center"/>
          </w:tcPr>
          <w:p>
            <w:pPr>
              <w:spacing w:line="440" w:lineRule="exac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ign w:val="center"/>
          </w:tcPr>
          <w:p>
            <w:pPr>
              <w:spacing w:line="440" w:lineRule="exact"/>
              <w:jc w:val="center"/>
              <w:rPr>
                <w:rFonts w:ascii="宋体" w:hAnsi="宋体" w:cs="宋体"/>
                <w:color w:val="auto"/>
                <w:szCs w:val="21"/>
                <w:highlight w:val="none"/>
              </w:rPr>
            </w:pPr>
          </w:p>
        </w:tc>
        <w:tc>
          <w:tcPr>
            <w:tcW w:w="1258" w:type="dxa"/>
            <w:vMerge w:val="continue"/>
            <w:noWrap/>
            <w:vAlign w:val="center"/>
          </w:tcPr>
          <w:p>
            <w:pPr>
              <w:spacing w:line="440" w:lineRule="exact"/>
              <w:jc w:val="center"/>
              <w:rPr>
                <w:rFonts w:ascii="宋体" w:hAnsi="宋体" w:cs="宋体"/>
                <w:b/>
                <w:bCs/>
                <w:color w:val="auto"/>
                <w:szCs w:val="21"/>
                <w:highlight w:val="none"/>
              </w:rPr>
            </w:pPr>
          </w:p>
        </w:tc>
        <w:tc>
          <w:tcPr>
            <w:tcW w:w="6183" w:type="dxa"/>
            <w:noWrap/>
            <w:vAlign w:val="top"/>
          </w:tcPr>
          <w:p>
            <w:pPr>
              <w:keepNext w:val="0"/>
              <w:keepLines w:val="0"/>
              <w:pageBreakBefore w:val="0"/>
              <w:kinsoku/>
              <w:wordWrap/>
              <w:overflowPunct/>
              <w:topLinePunct w:val="0"/>
              <w:autoSpaceDN/>
              <w:bidi w:val="0"/>
              <w:adjustRightInd/>
              <w:snapToGrid/>
              <w:spacing w:line="440" w:lineRule="exact"/>
              <w:textAlignment w:val="auto"/>
              <w:rPr>
                <w:rFonts w:ascii="宋体" w:hAnsi="宋体" w:cs="宋体"/>
                <w:color w:val="auto"/>
                <w:szCs w:val="21"/>
                <w:highlight w:val="none"/>
              </w:rPr>
            </w:pPr>
            <w:r>
              <w:rPr>
                <w:rFonts w:hint="eastAsia" w:ascii="宋体" w:hAnsi="宋体" w:cs="宋体"/>
                <w:color w:val="auto"/>
                <w:szCs w:val="21"/>
                <w:highlight w:val="none"/>
              </w:rPr>
              <w:t>项目经理（建造师）有效身份证、注册证书以及安全生产考核合格证书（B证）</w:t>
            </w:r>
          </w:p>
        </w:tc>
        <w:tc>
          <w:tcPr>
            <w:tcW w:w="1860" w:type="dxa"/>
            <w:vMerge w:val="continue"/>
            <w:noWrap/>
            <w:vAlign w:val="center"/>
          </w:tcPr>
          <w:p>
            <w:pPr>
              <w:spacing w:line="440" w:lineRule="exact"/>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65" w:type="dxa"/>
            <w:vMerge w:val="continue"/>
            <w:noWrap/>
            <w:vAlign w:val="center"/>
          </w:tcPr>
          <w:p>
            <w:pPr>
              <w:spacing w:line="440" w:lineRule="exact"/>
              <w:jc w:val="center"/>
              <w:rPr>
                <w:rFonts w:ascii="宋体" w:hAnsi="宋体" w:cs="宋体"/>
                <w:color w:val="auto"/>
                <w:szCs w:val="21"/>
                <w:highlight w:val="none"/>
              </w:rPr>
            </w:pPr>
          </w:p>
        </w:tc>
        <w:tc>
          <w:tcPr>
            <w:tcW w:w="1258" w:type="dxa"/>
            <w:vMerge w:val="continue"/>
            <w:noWrap/>
            <w:vAlign w:val="center"/>
          </w:tcPr>
          <w:p>
            <w:pPr>
              <w:spacing w:line="440" w:lineRule="exact"/>
              <w:jc w:val="center"/>
              <w:rPr>
                <w:rFonts w:ascii="宋体" w:hAnsi="宋体" w:cs="宋体"/>
                <w:b/>
                <w:bCs/>
                <w:color w:val="auto"/>
                <w:szCs w:val="21"/>
                <w:highlight w:val="none"/>
              </w:rPr>
            </w:pPr>
          </w:p>
        </w:tc>
        <w:tc>
          <w:tcPr>
            <w:tcW w:w="6183" w:type="dxa"/>
            <w:noWrap/>
            <w:vAlign w:val="top"/>
          </w:tcPr>
          <w:p>
            <w:pPr>
              <w:spacing w:line="440" w:lineRule="exact"/>
              <w:rPr>
                <w:rFonts w:ascii="宋体" w:hAnsi="宋体" w:cs="宋体"/>
                <w:color w:val="auto"/>
                <w:highlight w:val="none"/>
              </w:rPr>
            </w:pPr>
            <w:r>
              <w:rPr>
                <w:rFonts w:hint="eastAsia" w:ascii="宋体" w:hAnsi="宋体" w:cs="宋体"/>
                <w:color w:val="auto"/>
                <w:szCs w:val="21"/>
                <w:highlight w:val="none"/>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860" w:type="dxa"/>
            <w:vMerge w:val="continue"/>
            <w:noWrap/>
            <w:vAlign w:val="center"/>
          </w:tcPr>
          <w:p>
            <w:pPr>
              <w:spacing w:line="440" w:lineRule="exact"/>
              <w:rPr>
                <w:rFonts w:ascii="宋体" w:hAnsi="宋体" w:cs="宋体"/>
                <w:color w:val="auto"/>
                <w:szCs w:val="21"/>
                <w:highlight w:val="none"/>
              </w:rPr>
            </w:pPr>
          </w:p>
        </w:tc>
      </w:tr>
    </w:tbl>
    <w:p>
      <w:pPr>
        <w:spacing w:line="440" w:lineRule="exact"/>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重要提示：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评标专家在检验投标文件过程中，如果由于投标人自身原因导致评标专家无法查看并检验投标文件中相关资料的，视为无效标处理。即使投标人将原件携带至现场的，同样按无效标处理。</w:t>
      </w:r>
    </w:p>
    <w:p>
      <w:pPr>
        <w:pStyle w:val="7"/>
        <w:spacing w:beforeLines="50" w:afterLines="50"/>
        <w:ind w:firstLine="422" w:firstLineChars="200"/>
        <w:rPr>
          <w:rFonts w:ascii="宋体" w:hAnsi="宋体" w:eastAsia="宋体" w:cs="宋体"/>
          <w:color w:val="auto"/>
          <w:highlight w:val="none"/>
        </w:rPr>
      </w:pPr>
      <w:bookmarkStart w:id="742" w:name="_Toc27127"/>
      <w:bookmarkStart w:id="743" w:name="_Toc506107319"/>
      <w:bookmarkStart w:id="744" w:name="_Toc35424941"/>
      <w:bookmarkStart w:id="745" w:name="_Toc35425107"/>
      <w:bookmarkStart w:id="746" w:name="_Toc324404866"/>
      <w:bookmarkStart w:id="747" w:name="_Toc78803376"/>
      <w:bookmarkStart w:id="748" w:name="_Toc15058904"/>
      <w:r>
        <w:rPr>
          <w:rFonts w:hint="eastAsia" w:ascii="宋体" w:hAnsi="宋体" w:eastAsia="宋体" w:cs="宋体"/>
          <w:color w:val="auto"/>
          <w:highlight w:val="none"/>
        </w:rPr>
        <w:t>1.审查资料</w:t>
      </w:r>
      <w:bookmarkEnd w:id="742"/>
      <w:bookmarkEnd w:id="743"/>
      <w:bookmarkEnd w:id="744"/>
      <w:bookmarkEnd w:id="745"/>
      <w:bookmarkEnd w:id="746"/>
      <w:bookmarkEnd w:id="747"/>
      <w:bookmarkEnd w:id="748"/>
    </w:p>
    <w:p>
      <w:pPr>
        <w:spacing w:line="440" w:lineRule="exact"/>
        <w:ind w:firstLine="420" w:firstLineChars="200"/>
        <w:jc w:val="left"/>
        <w:rPr>
          <w:rFonts w:hint="eastAsia" w:ascii="宋体" w:hAnsi="宋体" w:cs="宋体"/>
          <w:color w:val="auto"/>
          <w:szCs w:val="21"/>
          <w:highlight w:val="none"/>
        </w:rPr>
      </w:pPr>
      <w:bookmarkStart w:id="749" w:name="_Toc15058905"/>
      <w:bookmarkStart w:id="750" w:name="_Toc324404867"/>
      <w:r>
        <w:rPr>
          <w:rFonts w:hint="eastAsia" w:ascii="宋体" w:hAnsi="宋体" w:cs="宋体"/>
          <w:color w:val="auto"/>
          <w:szCs w:val="21"/>
          <w:highlight w:val="none"/>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（2）诚信投标承诺书；</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（3）企业法人营业执照；</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（4）企业资质证书</w:t>
      </w:r>
      <w:r>
        <w:rPr>
          <w:rFonts w:hint="eastAsia" w:ascii="宋体" w:hAnsi="宋体" w:cs="宋体"/>
          <w:color w:val="auto"/>
          <w:szCs w:val="21"/>
          <w:highlight w:val="none"/>
          <w:lang w:val="en-US" w:eastAsia="zh-CN"/>
        </w:rPr>
        <w:t>及</w:t>
      </w:r>
      <w:r>
        <w:rPr>
          <w:rFonts w:hint="eastAsia" w:ascii="宋体" w:hAnsi="宋体" w:cs="宋体"/>
          <w:color w:val="auto"/>
          <w:szCs w:val="21"/>
          <w:highlight w:val="none"/>
        </w:rPr>
        <w:t>企业安全生产许可证；</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（5）项目经理（建造师）有效身份证、注册证书以及安全生产考核合格证书（B证）；</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s="宋体"/>
          <w:color w:val="auto"/>
          <w:szCs w:val="21"/>
          <w:highlight w:val="none"/>
          <w:lang w:eastAsia="zh-CN"/>
        </w:rPr>
        <w:t>。</w:t>
      </w:r>
    </w:p>
    <w:bookmarkEnd w:id="749"/>
    <w:p>
      <w:pPr>
        <w:pStyle w:val="7"/>
        <w:spacing w:beforeLines="50" w:afterLines="50"/>
        <w:ind w:firstLine="422" w:firstLineChars="200"/>
        <w:rPr>
          <w:rFonts w:ascii="宋体" w:hAnsi="宋体" w:eastAsia="宋体" w:cs="宋体"/>
          <w:color w:val="auto"/>
          <w:highlight w:val="none"/>
        </w:rPr>
      </w:pPr>
      <w:bookmarkStart w:id="751" w:name="_Toc506107320"/>
      <w:bookmarkStart w:id="752" w:name="_Toc12549"/>
      <w:bookmarkStart w:id="753" w:name="_Toc78803377"/>
      <w:bookmarkStart w:id="754" w:name="_Toc35424942"/>
      <w:bookmarkStart w:id="755" w:name="_Toc35425108"/>
      <w:bookmarkStart w:id="756" w:name="_Toc15058909"/>
      <w:r>
        <w:rPr>
          <w:rFonts w:hint="eastAsia" w:ascii="宋体" w:hAnsi="宋体" w:eastAsia="宋体" w:cs="宋体"/>
          <w:color w:val="auto"/>
          <w:highlight w:val="none"/>
        </w:rPr>
        <w:t>2.审查办法</w:t>
      </w:r>
      <w:bookmarkEnd w:id="750"/>
      <w:bookmarkEnd w:id="751"/>
      <w:bookmarkEnd w:id="752"/>
      <w:bookmarkEnd w:id="753"/>
      <w:bookmarkEnd w:id="754"/>
      <w:bookmarkEnd w:id="755"/>
      <w:bookmarkEnd w:id="756"/>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由资格审查委员会（评标委员会）按资格审查办法前附表中资格审查必要合格条件评审表要求对投标人审查资料进行核验。</w:t>
      </w:r>
    </w:p>
    <w:p>
      <w:pPr>
        <w:pStyle w:val="7"/>
        <w:spacing w:beforeLines="50" w:afterLines="50"/>
        <w:ind w:firstLine="422" w:firstLineChars="200"/>
        <w:rPr>
          <w:rFonts w:ascii="宋体" w:hAnsi="宋体" w:eastAsia="宋体" w:cs="宋体"/>
          <w:color w:val="auto"/>
          <w:highlight w:val="none"/>
        </w:rPr>
      </w:pPr>
      <w:bookmarkStart w:id="757" w:name="_Toc15626"/>
      <w:bookmarkStart w:id="758" w:name="_Toc324404868"/>
      <w:bookmarkStart w:id="759" w:name="_Toc506107321"/>
      <w:bookmarkStart w:id="760" w:name="_Toc15058910"/>
      <w:bookmarkStart w:id="761" w:name="_Toc35424943"/>
      <w:bookmarkStart w:id="762" w:name="_Toc35425109"/>
      <w:bookmarkStart w:id="763" w:name="_Toc78803378"/>
      <w:r>
        <w:rPr>
          <w:rFonts w:hint="eastAsia" w:ascii="宋体" w:hAnsi="宋体" w:eastAsia="宋体" w:cs="宋体"/>
          <w:color w:val="auto"/>
          <w:highlight w:val="none"/>
        </w:rPr>
        <w:t>3.资格审查委员会和审查标准</w:t>
      </w:r>
      <w:bookmarkEnd w:id="757"/>
      <w:bookmarkEnd w:id="758"/>
      <w:bookmarkEnd w:id="759"/>
      <w:bookmarkEnd w:id="760"/>
      <w:bookmarkEnd w:id="761"/>
      <w:bookmarkEnd w:id="762"/>
      <w:bookmarkEnd w:id="763"/>
    </w:p>
    <w:p>
      <w:pPr>
        <w:spacing w:line="440" w:lineRule="exact"/>
        <w:ind w:firstLine="420" w:firstLineChars="200"/>
        <w:jc w:val="left"/>
        <w:rPr>
          <w:rFonts w:hint="eastAsia" w:ascii="宋体" w:hAnsi="宋体" w:eastAsia="宋体" w:cs="宋体"/>
          <w:color w:val="auto"/>
          <w:szCs w:val="21"/>
          <w:highlight w:val="none"/>
        </w:rPr>
      </w:pPr>
      <w:bookmarkStart w:id="764" w:name="_Toc78803379"/>
      <w:bookmarkStart w:id="765" w:name="_Toc35424944"/>
      <w:bookmarkStart w:id="766" w:name="_Toc35425110"/>
      <w:bookmarkStart w:id="767" w:name="_Toc10330"/>
      <w:bookmarkStart w:id="768" w:name="_Toc324404869"/>
      <w:bookmarkStart w:id="769" w:name="_Toc506107322"/>
      <w:bookmarkStart w:id="770" w:name="_Toc15058911"/>
      <w:r>
        <w:rPr>
          <w:rFonts w:hint="eastAsia" w:ascii="宋体" w:hAnsi="宋体" w:eastAsia="宋体" w:cs="宋体"/>
          <w:color w:val="auto"/>
          <w:szCs w:val="21"/>
          <w:highlight w:val="none"/>
        </w:rPr>
        <w:t>3.1资格审查由招标人依法组建的资格审查委员会（或评标委员会）负责。审查标准见资格审查办法前附表。</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3.2由资格审查委员会（评标委员会）按资格审查办法前附表要求对投标人的审查资料进行核验。投标申请人有下列情形之一的，其资格审查为不合格： </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（1）未发送标书或电子标书经审查不合格；</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（2）电子标书无法打开</w:t>
      </w:r>
      <w:r>
        <w:rPr>
          <w:rFonts w:hint="eastAsia" w:ascii="宋体" w:hAnsi="宋体" w:eastAsia="宋体" w:cs="宋体"/>
          <w:color w:val="auto"/>
          <w:szCs w:val="21"/>
          <w:highlight w:val="none"/>
          <w:lang w:eastAsia="zh-CN"/>
        </w:rPr>
        <w:t>；</w:t>
      </w:r>
    </w:p>
    <w:p>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）法律、法规规定的其他情形</w:t>
      </w:r>
      <w:r>
        <w:rPr>
          <w:rFonts w:hint="eastAsia" w:ascii="宋体" w:hAnsi="宋体" w:eastAsia="宋体" w:cs="宋体"/>
          <w:color w:val="auto"/>
          <w:szCs w:val="21"/>
          <w:highlight w:val="none"/>
        </w:rPr>
        <w:t>。</w:t>
      </w:r>
    </w:p>
    <w:p>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4.审查结果</w:t>
      </w:r>
      <w:bookmarkEnd w:id="764"/>
      <w:bookmarkEnd w:id="765"/>
      <w:bookmarkEnd w:id="766"/>
      <w:bookmarkEnd w:id="767"/>
      <w:bookmarkEnd w:id="768"/>
      <w:bookmarkEnd w:id="769"/>
      <w:bookmarkEnd w:id="770"/>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highlight w:val="none"/>
        </w:rPr>
        <w:t>只有通过资格审查的投标人才能进入下一步的评标程序。</w:t>
      </w:r>
      <w:bookmarkStart w:id="771" w:name="_Toc506107323"/>
    </w:p>
    <w:p>
      <w:pPr>
        <w:pStyle w:val="6"/>
        <w:spacing w:beforeLines="50" w:afterLines="50"/>
        <w:rPr>
          <w:color w:val="auto"/>
          <w:highlight w:val="none"/>
        </w:rPr>
      </w:pPr>
      <w:bookmarkStart w:id="772" w:name="_Toc35424945"/>
      <w:bookmarkStart w:id="773" w:name="_Toc35425111"/>
      <w:bookmarkStart w:id="774" w:name="_Toc15058912"/>
      <w:r>
        <w:rPr>
          <w:rFonts w:hint="eastAsia"/>
          <w:color w:val="auto"/>
          <w:highlight w:val="none"/>
        </w:rPr>
        <w:br w:type="page"/>
      </w:r>
      <w:bookmarkStart w:id="775" w:name="_Toc78803380"/>
      <w:r>
        <w:rPr>
          <w:rFonts w:hint="eastAsia" w:ascii="Arial" w:hAnsi="Arial"/>
          <w:color w:val="auto"/>
          <w:kern w:val="0"/>
          <w:sz w:val="32"/>
          <w:szCs w:val="32"/>
          <w:highlight w:val="none"/>
        </w:rPr>
        <w:t>第</w:t>
      </w:r>
      <w:r>
        <w:rPr>
          <w:rFonts w:hint="eastAsia" w:ascii="Arial" w:hAnsi="Arial"/>
          <w:color w:val="auto"/>
          <w:kern w:val="0"/>
          <w:sz w:val="32"/>
          <w:szCs w:val="32"/>
          <w:highlight w:val="none"/>
          <w:lang w:val="en-US" w:eastAsia="zh-CN"/>
        </w:rPr>
        <w:t>四</w:t>
      </w:r>
      <w:r>
        <w:rPr>
          <w:rFonts w:hint="eastAsia" w:ascii="Arial" w:hAnsi="Arial"/>
          <w:color w:val="auto"/>
          <w:kern w:val="0"/>
          <w:sz w:val="32"/>
          <w:szCs w:val="32"/>
          <w:highlight w:val="none"/>
        </w:rPr>
        <w:t>章 评标办法</w:t>
      </w:r>
      <w:bookmarkEnd w:id="623"/>
      <w:bookmarkEnd w:id="771"/>
      <w:bookmarkEnd w:id="772"/>
      <w:bookmarkEnd w:id="773"/>
      <w:bookmarkEnd w:id="774"/>
      <w:bookmarkEnd w:id="775"/>
    </w:p>
    <w:p>
      <w:pPr>
        <w:pStyle w:val="2"/>
        <w:adjustRightInd w:val="0"/>
        <w:snapToGrid w:val="0"/>
        <w:spacing w:after="0" w:afterLines="0" w:line="560" w:lineRule="exact"/>
        <w:ind w:left="0" w:leftChars="0" w:firstLine="0" w:firstLineChars="0"/>
        <w:jc w:val="center"/>
        <w:rPr>
          <w:rFonts w:hint="eastAsia" w:ascii="Times New Roman" w:hAnsi="Times New Roman" w:eastAsia="宋体" w:cs="Times New Roman"/>
          <w:color w:val="auto"/>
          <w:sz w:val="25"/>
          <w:szCs w:val="24"/>
          <w:highlight w:val="none"/>
        </w:rPr>
      </w:pPr>
      <w:r>
        <w:rPr>
          <w:rFonts w:hint="eastAsia" w:ascii="Times New Roman" w:hAnsi="Times New Roman" w:eastAsia="宋体" w:cs="Times New Roman"/>
          <w:color w:val="auto"/>
          <w:sz w:val="25"/>
          <w:szCs w:val="24"/>
          <w:highlight w:val="none"/>
        </w:rPr>
        <w:t>商务标评审</w:t>
      </w:r>
    </w:p>
    <w:tbl>
      <w:tblPr>
        <w:tblStyle w:val="47"/>
        <w:tblW w:w="10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80"/>
        <w:gridCol w:w="2858"/>
        <w:gridCol w:w="5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60" w:type="dxa"/>
            <w:gridSpan w:val="2"/>
            <w:noWrap w:val="0"/>
            <w:vAlign w:val="center"/>
          </w:tcPr>
          <w:p>
            <w:pPr>
              <w:adjustRightInd w:val="0"/>
              <w:snapToGrid w:val="0"/>
              <w:spacing w:line="560" w:lineRule="exact"/>
              <w:jc w:val="center"/>
              <w:rPr>
                <w:rFonts w:hint="eastAsia" w:ascii="宋体" w:hAnsi="宋体" w:cs="宋体"/>
                <w:color w:val="auto"/>
                <w:szCs w:val="21"/>
                <w:highlight w:val="none"/>
              </w:rPr>
            </w:pPr>
            <w:bookmarkStart w:id="776" w:name="_Toc6491"/>
            <w:bookmarkStart w:id="777" w:name="_Toc247085747"/>
            <w:bookmarkStart w:id="778" w:name="_Toc506107324"/>
            <w:bookmarkStart w:id="779" w:name="_Toc78803381"/>
            <w:bookmarkStart w:id="780" w:name="_Toc152042366"/>
            <w:bookmarkStart w:id="781" w:name="_Toc35424947"/>
            <w:bookmarkStart w:id="782" w:name="_Toc179632607"/>
            <w:bookmarkStart w:id="783" w:name="_Toc15058913"/>
            <w:bookmarkStart w:id="784" w:name="_Toc246996232"/>
            <w:bookmarkStart w:id="785" w:name="_Toc324404872"/>
            <w:bookmarkStart w:id="786" w:name="_Toc144974556"/>
            <w:bookmarkStart w:id="787" w:name="_Toc246996975"/>
            <w:bookmarkStart w:id="788" w:name="_Toc152045589"/>
            <w:bookmarkStart w:id="789" w:name="_Toc35425113"/>
            <w:r>
              <w:rPr>
                <w:rFonts w:hint="eastAsia" w:ascii="宋体" w:hAnsi="宋体" w:cs="宋体"/>
                <w:color w:val="auto"/>
                <w:szCs w:val="21"/>
                <w:highlight w:val="none"/>
              </w:rPr>
              <w:t>条款号</w:t>
            </w:r>
          </w:p>
        </w:tc>
        <w:tc>
          <w:tcPr>
            <w:tcW w:w="2858" w:type="dxa"/>
            <w:noWrap w:val="0"/>
            <w:vAlign w:val="center"/>
          </w:tcPr>
          <w:p>
            <w:pPr>
              <w:adjustRightInd w:val="0"/>
              <w:snapToGrid w:val="0"/>
              <w:spacing w:line="560" w:lineRule="exact"/>
              <w:jc w:val="center"/>
              <w:rPr>
                <w:rFonts w:hint="eastAsia" w:ascii="宋体" w:hAnsi="宋体" w:cs="宋体"/>
                <w:color w:val="auto"/>
                <w:szCs w:val="21"/>
                <w:highlight w:val="none"/>
              </w:rPr>
            </w:pPr>
            <w:r>
              <w:rPr>
                <w:rFonts w:hint="eastAsia" w:ascii="宋体" w:hAnsi="宋体" w:cs="宋体"/>
                <w:color w:val="auto"/>
                <w:szCs w:val="21"/>
                <w:highlight w:val="none"/>
              </w:rPr>
              <w:t>评审因素</w:t>
            </w:r>
          </w:p>
        </w:tc>
        <w:tc>
          <w:tcPr>
            <w:tcW w:w="5526" w:type="dxa"/>
            <w:noWrap w:val="0"/>
            <w:vAlign w:val="center"/>
          </w:tcPr>
          <w:p>
            <w:pPr>
              <w:adjustRightInd w:val="0"/>
              <w:snapToGrid w:val="0"/>
              <w:spacing w:line="560" w:lineRule="exact"/>
              <w:jc w:val="center"/>
              <w:rPr>
                <w:rFonts w:hint="eastAsia" w:ascii="宋体" w:hAnsi="宋体" w:cs="宋体"/>
                <w:color w:val="auto"/>
                <w:szCs w:val="21"/>
                <w:highlight w:val="none"/>
              </w:rPr>
            </w:pPr>
            <w:r>
              <w:rPr>
                <w:rFonts w:hint="eastAsia" w:ascii="宋体" w:hAnsi="宋体" w:cs="宋体"/>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80" w:type="dxa"/>
            <w:vMerge w:val="restart"/>
            <w:noWrap w:val="0"/>
            <w:vAlign w:val="center"/>
          </w:tcPr>
          <w:p>
            <w:pPr>
              <w:adjustRightInd w:val="0"/>
              <w:snapToGrid w:val="0"/>
              <w:spacing w:line="560" w:lineRule="exact"/>
              <w:jc w:val="center"/>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.1</w:t>
            </w:r>
          </w:p>
        </w:tc>
        <w:tc>
          <w:tcPr>
            <w:tcW w:w="780" w:type="dxa"/>
            <w:vMerge w:val="restart"/>
            <w:noWrap w:val="0"/>
            <w:vAlign w:val="center"/>
          </w:tcPr>
          <w:p>
            <w:pPr>
              <w:adjustRightInd w:val="0"/>
              <w:snapToGrid w:val="0"/>
              <w:spacing w:line="560" w:lineRule="exact"/>
              <w:jc w:val="center"/>
              <w:rPr>
                <w:rFonts w:hint="eastAsia" w:ascii="宋体" w:hAnsi="宋体" w:cs="宋体"/>
                <w:color w:val="auto"/>
                <w:szCs w:val="21"/>
                <w:highlight w:val="none"/>
              </w:rPr>
            </w:pPr>
            <w:r>
              <w:rPr>
                <w:rFonts w:hint="eastAsia" w:ascii="宋体" w:hAnsi="宋体" w:cs="宋体"/>
                <w:color w:val="auto"/>
                <w:szCs w:val="21"/>
                <w:highlight w:val="none"/>
              </w:rPr>
              <w:t>形式评审标准</w:t>
            </w: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投标函签字盖章</w:t>
            </w:r>
          </w:p>
        </w:tc>
        <w:tc>
          <w:tcPr>
            <w:tcW w:w="5526" w:type="dxa"/>
            <w:noWrap w:val="0"/>
            <w:vAlign w:val="center"/>
          </w:tcPr>
          <w:p>
            <w:pPr>
              <w:adjustRightInd w:val="0"/>
              <w:snapToGrid w:val="0"/>
              <w:spacing w:line="560" w:lineRule="exact"/>
              <w:jc w:val="left"/>
              <w:rPr>
                <w:rFonts w:hint="eastAsia" w:ascii="宋体" w:hAnsi="宋体" w:cs="宋体"/>
                <w:color w:val="auto"/>
                <w:szCs w:val="21"/>
                <w:highlight w:val="none"/>
              </w:rPr>
            </w:pPr>
            <w:r>
              <w:rPr>
                <w:rFonts w:hint="eastAsia" w:ascii="宋体" w:hAnsi="宋体" w:cs="宋体"/>
                <w:color w:val="auto"/>
                <w:szCs w:val="21"/>
                <w:highlight w:val="none"/>
              </w:rPr>
              <w:t>有投标人及其法定代表人签章。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投标文件格式</w:t>
            </w:r>
          </w:p>
        </w:tc>
        <w:tc>
          <w:tcPr>
            <w:tcW w:w="5526" w:type="dxa"/>
            <w:noWrap w:val="0"/>
            <w:vAlign w:val="center"/>
          </w:tcPr>
          <w:p>
            <w:pPr>
              <w:adjustRightInd w:val="0"/>
              <w:snapToGrid w:val="0"/>
              <w:spacing w:line="560" w:lineRule="exact"/>
              <w:jc w:val="left"/>
              <w:rPr>
                <w:rFonts w:hint="eastAsia" w:ascii="宋体" w:hAnsi="宋体" w:cs="宋体"/>
                <w:color w:val="auto"/>
                <w:szCs w:val="21"/>
                <w:highlight w:val="none"/>
              </w:rPr>
            </w:pPr>
            <w:r>
              <w:rPr>
                <w:rFonts w:hint="eastAsia" w:ascii="宋体" w:hAnsi="宋体" w:cs="宋体"/>
                <w:color w:val="auto"/>
                <w:szCs w:val="21"/>
                <w:highlight w:val="none"/>
              </w:rPr>
              <w:t>符合第九章“投标文件格式”的要求。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商务标签字盖章</w:t>
            </w:r>
          </w:p>
        </w:tc>
        <w:tc>
          <w:tcPr>
            <w:tcW w:w="5526" w:type="dxa"/>
            <w:noWrap w:val="0"/>
            <w:vAlign w:val="center"/>
          </w:tcPr>
          <w:p>
            <w:pPr>
              <w:adjustRightInd w:val="0"/>
              <w:snapToGrid w:val="0"/>
              <w:spacing w:line="560" w:lineRule="exact"/>
              <w:jc w:val="left"/>
              <w:rPr>
                <w:rFonts w:hint="eastAsia" w:ascii="宋体" w:hAnsi="宋体" w:cs="宋体"/>
                <w:color w:val="auto"/>
                <w:szCs w:val="21"/>
                <w:highlight w:val="none"/>
              </w:rPr>
            </w:pPr>
            <w:r>
              <w:rPr>
                <w:rFonts w:hint="eastAsia" w:ascii="宋体" w:hAnsi="宋体" w:cs="宋体"/>
                <w:color w:val="auto"/>
                <w:szCs w:val="21"/>
                <w:highlight w:val="none"/>
              </w:rPr>
              <w:t>按投标文件格式要求签章。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报价唯一</w:t>
            </w:r>
          </w:p>
        </w:tc>
        <w:tc>
          <w:tcPr>
            <w:tcW w:w="5526" w:type="dxa"/>
            <w:noWrap w:val="0"/>
            <w:vAlign w:val="center"/>
          </w:tcPr>
          <w:p>
            <w:pPr>
              <w:adjustRightInd w:val="0"/>
              <w:snapToGrid w:val="0"/>
              <w:spacing w:line="560" w:lineRule="exact"/>
              <w:jc w:val="left"/>
              <w:rPr>
                <w:rFonts w:hint="eastAsia" w:ascii="宋体" w:hAnsi="宋体" w:cs="宋体"/>
                <w:color w:val="auto"/>
                <w:szCs w:val="21"/>
                <w:highlight w:val="none"/>
              </w:rPr>
            </w:pPr>
            <w:r>
              <w:rPr>
                <w:rFonts w:hint="eastAsia" w:ascii="宋体" w:hAnsi="宋体" w:cs="宋体"/>
                <w:color w:val="auto"/>
                <w:szCs w:val="21"/>
                <w:highlight w:val="none"/>
              </w:rPr>
              <w:t>只能有一个报价。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880" w:type="dxa"/>
            <w:vMerge w:val="restart"/>
            <w:noWrap w:val="0"/>
            <w:vAlign w:val="center"/>
          </w:tcPr>
          <w:p>
            <w:pPr>
              <w:adjustRightInd w:val="0"/>
              <w:snapToGrid w:val="0"/>
              <w:spacing w:line="560" w:lineRule="exact"/>
              <w:jc w:val="center"/>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w:t>
            </w:r>
          </w:p>
        </w:tc>
        <w:tc>
          <w:tcPr>
            <w:tcW w:w="780" w:type="dxa"/>
            <w:vMerge w:val="restart"/>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响应性评审标准</w:t>
            </w:r>
          </w:p>
          <w:p>
            <w:pPr>
              <w:adjustRightInd w:val="0"/>
              <w:snapToGrid w:val="0"/>
              <w:spacing w:line="560" w:lineRule="exact"/>
              <w:jc w:val="center"/>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jc w:val="left"/>
              <w:rPr>
                <w:rFonts w:hint="eastAsia" w:ascii="宋体" w:hAnsi="宋体" w:cs="宋体"/>
                <w:color w:val="auto"/>
                <w:szCs w:val="21"/>
                <w:highlight w:val="none"/>
              </w:rPr>
            </w:pPr>
            <w:r>
              <w:rPr>
                <w:rFonts w:hint="eastAsia" w:ascii="宋体" w:hAnsi="宋体" w:cs="宋体"/>
                <w:color w:val="auto"/>
                <w:szCs w:val="21"/>
                <w:highlight w:val="none"/>
              </w:rPr>
              <w:t>工期</w:t>
            </w:r>
          </w:p>
        </w:tc>
        <w:tc>
          <w:tcPr>
            <w:tcW w:w="5526"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符合投标须知前附表规定。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工程质量</w:t>
            </w:r>
          </w:p>
        </w:tc>
        <w:tc>
          <w:tcPr>
            <w:tcW w:w="5526"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符合投标须知前附表规定。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投标有效期</w:t>
            </w:r>
          </w:p>
        </w:tc>
        <w:tc>
          <w:tcPr>
            <w:tcW w:w="5526"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符合投标须知前附表规定。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已标价工程量清单</w:t>
            </w:r>
          </w:p>
        </w:tc>
        <w:tc>
          <w:tcPr>
            <w:tcW w:w="5526"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与招标人发布的招标工程量清单（含需评审材料清单）排序一致。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投标总价评审</w:t>
            </w:r>
          </w:p>
        </w:tc>
        <w:tc>
          <w:tcPr>
            <w:tcW w:w="5526" w:type="dxa"/>
            <w:noWrap w:val="0"/>
            <w:vAlign w:val="center"/>
          </w:tcPr>
          <w:p>
            <w:pPr>
              <w:adjustRightInd w:val="0"/>
              <w:snapToGrid w:val="0"/>
              <w:spacing w:line="560" w:lineRule="exact"/>
              <w:rPr>
                <w:rFonts w:hint="eastAsia" w:ascii="宋体" w:hAnsi="宋体" w:cs="宋体"/>
                <w:color w:val="auto"/>
                <w:spacing w:val="-6"/>
                <w:szCs w:val="21"/>
                <w:highlight w:val="none"/>
              </w:rPr>
            </w:pPr>
            <w:r>
              <w:rPr>
                <w:rFonts w:hint="eastAsia" w:ascii="宋体" w:hAnsi="宋体" w:cs="宋体"/>
                <w:color w:val="auto"/>
                <w:spacing w:val="-6"/>
                <w:szCs w:val="21"/>
                <w:highlight w:val="none"/>
              </w:rPr>
              <w:t>不得高于最高投标限价，也不得低于工程成本价。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8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780" w:type="dxa"/>
            <w:vMerge w:val="continue"/>
            <w:noWrap w:val="0"/>
            <w:vAlign w:val="center"/>
          </w:tcPr>
          <w:p>
            <w:pPr>
              <w:widowControl/>
              <w:adjustRightInd w:val="0"/>
              <w:snapToGrid w:val="0"/>
              <w:spacing w:line="560" w:lineRule="exact"/>
              <w:jc w:val="left"/>
              <w:rPr>
                <w:rFonts w:hint="eastAsia" w:ascii="宋体" w:hAnsi="宋体" w:cs="宋体"/>
                <w:color w:val="auto"/>
                <w:szCs w:val="21"/>
                <w:highlight w:val="none"/>
              </w:rPr>
            </w:pPr>
          </w:p>
        </w:tc>
        <w:tc>
          <w:tcPr>
            <w:tcW w:w="2858"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暂列金额、专业工程暂估价、分部分项工程材料及设备暂估价</w:t>
            </w:r>
          </w:p>
        </w:tc>
        <w:tc>
          <w:tcPr>
            <w:tcW w:w="5526" w:type="dxa"/>
            <w:noWrap w:val="0"/>
            <w:vAlign w:val="center"/>
          </w:tcPr>
          <w:p>
            <w:pPr>
              <w:adjustRightInd w:val="0"/>
              <w:snapToGrid w:val="0"/>
              <w:spacing w:line="560" w:lineRule="exact"/>
              <w:rPr>
                <w:rFonts w:hint="eastAsia" w:ascii="宋体" w:hAnsi="宋体" w:cs="宋体"/>
                <w:color w:val="auto"/>
                <w:szCs w:val="21"/>
                <w:highlight w:val="none"/>
              </w:rPr>
            </w:pPr>
            <w:r>
              <w:rPr>
                <w:rFonts w:hint="eastAsia" w:ascii="宋体" w:hAnsi="宋体" w:cs="宋体"/>
                <w:color w:val="auto"/>
                <w:szCs w:val="21"/>
                <w:highlight w:val="none"/>
              </w:rPr>
              <w:t>与招标人发布的招标工程量清单一致。</w:t>
            </w:r>
          </w:p>
        </w:tc>
      </w:tr>
    </w:tbl>
    <w:p>
      <w:pPr>
        <w:adjustRightInd w:val="0"/>
        <w:snapToGrid w:val="0"/>
        <w:spacing w:line="560" w:lineRule="exact"/>
        <w:ind w:firstLine="422" w:firstLineChars="20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商务标评审表注：</w:t>
      </w:r>
    </w:p>
    <w:p>
      <w:pPr>
        <w:adjustRightInd w:val="0"/>
        <w:snapToGrid w:val="0"/>
        <w:spacing w:line="5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1、本表所称投标报价是指按招标文件规定修正后的投标总报价（多算投标报价、多报费用不扣减）</w:t>
      </w:r>
      <w:r>
        <w:rPr>
          <w:rFonts w:hint="eastAsia" w:ascii="宋体" w:hAnsi="宋体" w:cs="宋体"/>
          <w:color w:val="auto"/>
          <w:szCs w:val="21"/>
          <w:highlight w:val="none"/>
        </w:rPr>
        <w:t>，报价以元为单位，保留两位小数，小数点后第三位四舍五入。</w:t>
      </w:r>
    </w:p>
    <w:p>
      <w:pPr>
        <w:adjustRightInd w:val="0"/>
        <w:snapToGrid w:val="0"/>
        <w:spacing w:line="560" w:lineRule="exact"/>
        <w:ind w:firstLine="420" w:firstLineChars="200"/>
        <w:rPr>
          <w:rFonts w:hint="eastAsia" w:ascii="宋体" w:hAnsi="宋体"/>
          <w:color w:val="auto"/>
          <w:highlight w:val="none"/>
        </w:rPr>
      </w:pPr>
      <w:r>
        <w:rPr>
          <w:rFonts w:hint="eastAsia" w:ascii="宋体" w:hAnsi="宋体"/>
          <w:color w:val="auto"/>
          <w:highlight w:val="none"/>
        </w:rPr>
        <w:t>2、缺漏项金额是指投标人漏计招标人发布的清单项目，按最高投标限价对应清单综合单价计算缺漏金额。</w:t>
      </w:r>
    </w:p>
    <w:p>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1.评标方法</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pPr>
        <w:widowControl/>
        <w:adjustRightInd w:val="0"/>
        <w:snapToGrid w:val="0"/>
        <w:spacing w:line="560" w:lineRule="exact"/>
        <w:ind w:firstLine="422" w:firstLineChars="200"/>
        <w:jc w:val="left"/>
        <w:rPr>
          <w:rFonts w:hint="eastAsia" w:ascii="宋体" w:hAnsi="宋体" w:cs="宋体"/>
          <w:b/>
          <w:color w:val="auto"/>
          <w:szCs w:val="21"/>
          <w:highlight w:val="none"/>
        </w:rPr>
      </w:pPr>
      <w:bookmarkStart w:id="790" w:name="_Toc35424948"/>
      <w:bookmarkStart w:id="791" w:name="_Toc35425114"/>
      <w:bookmarkStart w:id="792" w:name="_Toc324404873"/>
      <w:bookmarkStart w:id="793" w:name="_Toc78803382"/>
      <w:bookmarkStart w:id="794" w:name="_Toc506107325"/>
      <w:bookmarkStart w:id="795" w:name="_Toc11945"/>
      <w:bookmarkStart w:id="796" w:name="_Toc15058914"/>
      <w:bookmarkStart w:id="797" w:name="_Toc179632608"/>
      <w:bookmarkStart w:id="798" w:name="_Toc246996233"/>
      <w:bookmarkStart w:id="799" w:name="_Toc247085748"/>
      <w:bookmarkStart w:id="800" w:name="_Toc296602478"/>
      <w:bookmarkStart w:id="801" w:name="_Toc144974557"/>
      <w:bookmarkStart w:id="802" w:name="_Toc152045590"/>
      <w:bookmarkStart w:id="803" w:name="_Toc152042367"/>
      <w:bookmarkStart w:id="804" w:name="_Toc246996976"/>
      <w:r>
        <w:rPr>
          <w:rFonts w:hint="eastAsia" w:ascii="宋体" w:hAnsi="宋体" w:cs="宋体"/>
          <w:b/>
          <w:color w:val="auto"/>
          <w:szCs w:val="21"/>
          <w:highlight w:val="none"/>
        </w:rPr>
        <w:t>本次评标采用</w:t>
      </w:r>
      <w:r>
        <w:rPr>
          <w:rFonts w:hint="eastAsia" w:ascii="宋体" w:hAnsi="宋体" w:cs="宋体"/>
          <w:b/>
          <w:color w:val="auto"/>
          <w:szCs w:val="21"/>
          <w:highlight w:val="none"/>
          <w:lang w:eastAsia="zh-CN"/>
        </w:rPr>
        <w:t>经评审的最低投标价法</w:t>
      </w:r>
      <w:r>
        <w:rPr>
          <w:rFonts w:hint="eastAsia" w:ascii="宋体" w:hAnsi="宋体" w:cs="宋体"/>
          <w:b/>
          <w:color w:val="auto"/>
          <w:szCs w:val="21"/>
          <w:highlight w:val="none"/>
        </w:rPr>
        <w:t>。评标委员会对满足招标文件实质性要求的投标文件，最终按投标报价最低原则，推荐有效投标报价最低的为第一中标候选人，次低的为第二中标候选人，以此类推，推荐中标候选人</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名，并标明排序，但投标报价低于其成本的除外。投标报价最低的有效投标人有两名或两名以上相同时，由评标委员会主任委员或招标人抽签确定第一中标候选人。</w:t>
      </w:r>
    </w:p>
    <w:p>
      <w:pPr>
        <w:adjustRightInd w:val="0"/>
        <w:snapToGrid w:val="0"/>
        <w:spacing w:line="560" w:lineRule="exact"/>
        <w:ind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根据评标委员会评审初步结论，项目单位（代理机构）对预中标候选人、法定代表人及其项目经理（建造师）是否存在招标文件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价。</w:t>
      </w:r>
    </w:p>
    <w:p>
      <w:pPr>
        <w:shd w:val="clear"/>
        <w:adjustRightInd w:val="0"/>
        <w:snapToGrid w:val="0"/>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（2）评标委员会登录安徽省住建厅网址http://dohurd.ah.gov.cn/site/tpl/9311或全国建筑市场监管公共服务平台 ( 四库-平台)https://jzsc.mohurd.gov.cn/home 进行实时查询，并结合《住房城乡建设部关于进一步加强建设工程企业资质审批管理工作的通知》（建市规〔2023〕3 号）、《住房和城乡建设部办公厅关于建设工程企业资质有关事项的通知》（建办市函〔2022〕361 号）和安徽省住建厅《关于建设工程企业资质有关事宜的通知》（建市函〔2022〕748 号），对中标候选人的关系企业履约能力的建造师数量进行评审：</w:t>
      </w:r>
    </w:p>
    <w:p>
      <w:pPr>
        <w:widowControl/>
        <w:adjustRightInd w:val="0"/>
        <w:snapToGrid w:val="0"/>
        <w:spacing w:line="560" w:lineRule="exact"/>
        <w:ind w:firstLine="420" w:firstLineChars="200"/>
        <w:jc w:val="left"/>
        <w:rPr>
          <w:rFonts w:ascii="宋体" w:hAnsi="宋体" w:cs="宋体"/>
          <w:color w:val="auto"/>
          <w:szCs w:val="21"/>
          <w:highlight w:val="none"/>
        </w:rPr>
      </w:pPr>
      <w:r>
        <w:rPr>
          <w:rFonts w:hint="eastAsia" w:ascii="仿宋_GB2312" w:hAnsi="宋体" w:eastAsia="仿宋_GB2312" w:cs="宋体"/>
          <w:color w:val="auto"/>
          <w:szCs w:val="21"/>
          <w:highlight w:val="none"/>
        </w:rPr>
        <w:t>①</w:t>
      </w:r>
      <w:r>
        <w:rPr>
          <w:rFonts w:hint="eastAsia" w:ascii="宋体" w:hAnsi="Times New Roman" w:eastAsia="宋体" w:cs="宋体"/>
          <w:color w:val="auto"/>
          <w:sz w:val="21"/>
          <w:szCs w:val="21"/>
          <w:highlight w:val="none"/>
          <w:lang w:val="en-US" w:eastAsia="zh-CN"/>
        </w:rPr>
        <w:t>消防设施工程专业承包</w:t>
      </w:r>
      <w:r>
        <w:rPr>
          <w:rFonts w:hint="eastAsia" w:ascii="宋体" w:cs="宋体"/>
          <w:color w:val="auto"/>
          <w:sz w:val="21"/>
          <w:szCs w:val="21"/>
          <w:highlight w:val="none"/>
          <w:lang w:val="en-US" w:eastAsia="zh-CN"/>
        </w:rPr>
        <w:t>一</w:t>
      </w:r>
      <w:r>
        <w:rPr>
          <w:rFonts w:hint="eastAsia" w:ascii="宋体" w:hAnsi="Times New Roman" w:eastAsia="宋体" w:cs="宋体"/>
          <w:color w:val="auto"/>
          <w:sz w:val="21"/>
          <w:szCs w:val="21"/>
          <w:highlight w:val="none"/>
          <w:lang w:val="en-US" w:eastAsia="zh-CN"/>
        </w:rPr>
        <w:t>级</w:t>
      </w:r>
      <w:r>
        <w:rPr>
          <w:rFonts w:hint="eastAsia" w:ascii="宋体" w:hAnsi="宋体" w:cs="宋体"/>
          <w:color w:val="auto"/>
          <w:szCs w:val="21"/>
          <w:highlight w:val="none"/>
        </w:rPr>
        <w:t>：</w:t>
      </w:r>
      <w:r>
        <w:rPr>
          <w:rFonts w:hint="eastAsia" w:ascii="宋体" w:hAnsi="宋体" w:eastAsia="宋体" w:cs="宋体"/>
          <w:color w:val="auto"/>
          <w:szCs w:val="21"/>
          <w:highlight w:val="none"/>
          <w:lang w:val="en-US" w:eastAsia="zh-CN"/>
        </w:rPr>
        <w:t>机电工程专业一级注册建造师不少于</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人</w:t>
      </w:r>
      <w:r>
        <w:rPr>
          <w:rFonts w:hint="eastAsia" w:ascii="宋体" w:hAnsi="宋体" w:cs="宋体"/>
          <w:color w:val="auto"/>
          <w:szCs w:val="21"/>
          <w:highlight w:val="none"/>
        </w:rPr>
        <w:t>。</w:t>
      </w:r>
    </w:p>
    <w:p>
      <w:pPr>
        <w:widowControl/>
        <w:adjustRightInd w:val="0"/>
        <w:snapToGrid w:val="0"/>
        <w:spacing w:line="560" w:lineRule="exact"/>
        <w:ind w:firstLine="420" w:firstLineChars="200"/>
        <w:jc w:val="left"/>
        <w:rPr>
          <w:rFonts w:ascii="宋体" w:hAnsi="宋体" w:cs="宋体"/>
          <w:color w:val="auto"/>
          <w:szCs w:val="21"/>
          <w:highlight w:val="none"/>
        </w:rPr>
      </w:pPr>
      <w:r>
        <w:rPr>
          <w:rFonts w:hint="eastAsia" w:ascii="仿宋_GB2312" w:hAnsi="宋体" w:eastAsia="仿宋_GB2312" w:cs="宋体"/>
          <w:color w:val="auto"/>
          <w:szCs w:val="21"/>
          <w:highlight w:val="none"/>
        </w:rPr>
        <w:t>②</w:t>
      </w:r>
      <w:r>
        <w:rPr>
          <w:rFonts w:hint="eastAsia" w:ascii="宋体" w:hAnsi="Times New Roman" w:eastAsia="宋体" w:cs="宋体"/>
          <w:color w:val="auto"/>
          <w:sz w:val="21"/>
          <w:szCs w:val="21"/>
          <w:highlight w:val="none"/>
          <w:lang w:val="en-US" w:eastAsia="zh-CN"/>
        </w:rPr>
        <w:t>消防设施工程专业承包二级</w:t>
      </w:r>
      <w:r>
        <w:rPr>
          <w:rFonts w:hint="eastAsia" w:ascii="宋体" w:hAnsi="宋体" w:cs="宋体"/>
          <w:color w:val="auto"/>
          <w:szCs w:val="21"/>
          <w:highlight w:val="none"/>
        </w:rPr>
        <w:t>：</w:t>
      </w:r>
      <w:r>
        <w:rPr>
          <w:rFonts w:hint="eastAsia" w:ascii="宋体" w:hAnsi="宋体" w:eastAsia="宋体" w:cs="宋体"/>
          <w:color w:val="auto"/>
          <w:szCs w:val="21"/>
          <w:highlight w:val="none"/>
          <w:lang w:val="en-US" w:eastAsia="zh-CN"/>
        </w:rPr>
        <w:t>机电工程专业注册建造师不少于</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人</w:t>
      </w:r>
      <w:r>
        <w:rPr>
          <w:rFonts w:hint="eastAsia" w:ascii="宋体" w:hAnsi="宋体" w:cs="宋体"/>
          <w:color w:val="auto"/>
          <w:szCs w:val="21"/>
          <w:highlight w:val="none"/>
        </w:rPr>
        <w:t>。</w:t>
      </w:r>
    </w:p>
    <w:p>
      <w:pPr>
        <w:pStyle w:val="7"/>
        <w:spacing w:beforeLines="50" w:afterLines="50"/>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中标候选人的注册建造师不满足上述要求的，评标委员会对该投标不予认可。中标候选人依次替补，评标委员会再次对替补单位进行核查。</w:t>
      </w:r>
    </w:p>
    <w:p>
      <w:pPr>
        <w:pStyle w:val="7"/>
        <w:spacing w:beforeLines="50" w:afterLines="50"/>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2.评标委员会的职责</w:t>
      </w:r>
      <w:bookmarkEnd w:id="790"/>
      <w:bookmarkEnd w:id="791"/>
      <w:bookmarkEnd w:id="792"/>
      <w:bookmarkEnd w:id="793"/>
      <w:bookmarkEnd w:id="794"/>
      <w:bookmarkEnd w:id="795"/>
      <w:bookmarkEnd w:id="796"/>
    </w:p>
    <w:p>
      <w:pPr>
        <w:shd w:val="clear"/>
        <w:adjustRightInd w:val="0"/>
        <w:snapToGrid w:val="0"/>
        <w:spacing w:line="560" w:lineRule="exact"/>
        <w:ind w:firstLine="420" w:firstLineChars="200"/>
        <w:jc w:val="left"/>
        <w:rPr>
          <w:rFonts w:hint="eastAsia" w:ascii="宋体" w:hAnsi="宋体" w:eastAsia="宋体" w:cs="宋体"/>
          <w:color w:val="auto"/>
          <w:szCs w:val="21"/>
          <w:highlight w:val="none"/>
        </w:rPr>
      </w:pPr>
      <w:bookmarkStart w:id="805" w:name="_Toc324404874"/>
      <w:bookmarkStart w:id="806" w:name="_Toc506107326"/>
      <w:bookmarkStart w:id="807" w:name="_Toc35425115"/>
      <w:bookmarkStart w:id="808" w:name="_Toc35424949"/>
      <w:bookmarkStart w:id="809" w:name="_Toc17377"/>
      <w:bookmarkStart w:id="810" w:name="_Toc15058915"/>
      <w:bookmarkStart w:id="811" w:name="_Toc78803384"/>
      <w:r>
        <w:rPr>
          <w:rFonts w:hint="eastAsia" w:ascii="宋体" w:hAnsi="宋体" w:eastAsia="宋体" w:cs="宋体"/>
          <w:color w:val="auto"/>
          <w:szCs w:val="21"/>
          <w:highlight w:val="none"/>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shd w:val="clear"/>
        <w:adjustRightInd w:val="0"/>
        <w:snapToGrid w:val="0"/>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3.评标程序</w:t>
      </w:r>
      <w:bookmarkEnd w:id="805"/>
      <w:bookmarkEnd w:id="806"/>
      <w:bookmarkEnd w:id="807"/>
      <w:bookmarkEnd w:id="808"/>
      <w:bookmarkEnd w:id="809"/>
      <w:bookmarkEnd w:id="810"/>
      <w:bookmarkEnd w:id="811"/>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评标先做准备工作，先进行资信评审，然后进行商务标评审。</w:t>
      </w:r>
    </w:p>
    <w:p>
      <w:pPr>
        <w:pStyle w:val="7"/>
        <w:ind w:firstLine="422" w:firstLineChars="200"/>
        <w:rPr>
          <w:rFonts w:ascii="宋体" w:hAnsi="宋体" w:eastAsia="宋体" w:cs="宋体"/>
          <w:color w:val="auto"/>
          <w:highlight w:val="none"/>
        </w:rPr>
      </w:pPr>
      <w:bookmarkStart w:id="812" w:name="_Toc27389"/>
      <w:bookmarkStart w:id="813" w:name="_Toc15058916"/>
      <w:bookmarkStart w:id="814" w:name="_Toc35424950"/>
      <w:bookmarkStart w:id="815" w:name="_Toc78803385"/>
      <w:bookmarkStart w:id="816" w:name="_Toc35425116"/>
      <w:r>
        <w:rPr>
          <w:rFonts w:hint="eastAsia" w:ascii="宋体" w:hAnsi="宋体" w:eastAsia="宋体" w:cs="宋体"/>
          <w:color w:val="auto"/>
          <w:highlight w:val="none"/>
        </w:rPr>
        <w:t>3.1评标准备工作</w:t>
      </w:r>
      <w:bookmarkEnd w:id="812"/>
      <w:bookmarkEnd w:id="813"/>
      <w:bookmarkEnd w:id="814"/>
      <w:bookmarkEnd w:id="815"/>
      <w:bookmarkEnd w:id="816"/>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评标委员会熟悉评标工作情况：</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（1）阅读由招标人或者其委托的工程代理机构编制的招标项目情况材料。</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（2）阅读、研究招标文件和相关评标资料，获取评标所需要的重要信息和数据，至少应了解和熟悉以下内容：招标项目的范围和性质，招标文件规定的主要技术要求、标准和商务条款。</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（3）熟悉招标文件规定的评标标准和评标方法及在评标过程中需要考虑的相关因素。</w:t>
      </w:r>
    </w:p>
    <w:p>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（4）核对评标工作用表。</w:t>
      </w:r>
    </w:p>
    <w:p>
      <w:pPr>
        <w:pStyle w:val="7"/>
        <w:ind w:firstLine="422" w:firstLineChars="200"/>
        <w:rPr>
          <w:rFonts w:ascii="宋体" w:hAnsi="宋体" w:eastAsia="宋体" w:cs="宋体"/>
          <w:color w:val="auto"/>
          <w:highlight w:val="none"/>
        </w:rPr>
      </w:pPr>
      <w:bookmarkStart w:id="817" w:name="_Toc35425118"/>
      <w:bookmarkStart w:id="818" w:name="_Toc11990"/>
      <w:bookmarkStart w:id="819" w:name="_Toc78803387"/>
      <w:bookmarkStart w:id="820" w:name="_Toc35424952"/>
      <w:bookmarkStart w:id="821" w:name="_Toc17468"/>
      <w:bookmarkStart w:id="822" w:name="_Toc15058918"/>
      <w:bookmarkStart w:id="823" w:name="_Toc324404875"/>
      <w:bookmarkStart w:id="824" w:name="_Toc12200"/>
      <w:bookmarkStart w:id="825" w:name="_Toc35425120"/>
      <w:bookmarkStart w:id="826" w:name="_Toc506107327"/>
      <w:bookmarkStart w:id="827" w:name="_Toc35424954"/>
      <w:bookmarkStart w:id="828" w:name="_Toc15058919"/>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商务标评审</w:t>
      </w:r>
      <w:bookmarkEnd w:id="817"/>
      <w:bookmarkEnd w:id="818"/>
      <w:bookmarkEnd w:id="819"/>
      <w:bookmarkEnd w:id="820"/>
      <w:bookmarkEnd w:id="821"/>
      <w:bookmarkEnd w:id="822"/>
    </w:p>
    <w:p>
      <w:pPr>
        <w:spacing w:line="44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详见商务标评审表。</w:t>
      </w:r>
    </w:p>
    <w:p>
      <w:pPr>
        <w:spacing w:line="440" w:lineRule="exact"/>
        <w:ind w:firstLine="422" w:firstLineChars="200"/>
        <w:rPr>
          <w:rFonts w:ascii="宋体" w:hAnsi="宋体" w:cs="宋体"/>
          <w:color w:val="auto"/>
          <w:szCs w:val="21"/>
          <w:highlight w:val="none"/>
        </w:rPr>
      </w:pPr>
      <w:bookmarkStart w:id="829" w:name="_Toc35425119"/>
      <w:bookmarkStart w:id="830" w:name="_Toc18087"/>
      <w:bookmarkStart w:id="831" w:name="_Toc35424953"/>
      <w:bookmarkStart w:id="832" w:name="_Toc26895"/>
      <w:bookmarkStart w:id="833" w:name="_Toc78803388"/>
      <w:r>
        <w:rPr>
          <w:rStyle w:val="197"/>
          <w:rFonts w:hint="eastAsia" w:ascii="宋体" w:hAnsi="宋体" w:eastAsia="宋体" w:cs="宋体"/>
          <w:color w:val="auto"/>
          <w:highlight w:val="none"/>
        </w:rPr>
        <w:t>3.</w:t>
      </w:r>
      <w:r>
        <w:rPr>
          <w:rStyle w:val="197"/>
          <w:rFonts w:hint="eastAsia" w:ascii="宋体" w:hAnsi="宋体" w:cs="宋体"/>
          <w:color w:val="auto"/>
          <w:highlight w:val="none"/>
          <w:lang w:val="en-US"/>
        </w:rPr>
        <w:t>3</w:t>
      </w:r>
      <w:r>
        <w:rPr>
          <w:rStyle w:val="197"/>
          <w:rFonts w:hint="eastAsia" w:ascii="宋体" w:hAnsi="宋体" w:eastAsia="宋体" w:cs="宋体"/>
          <w:color w:val="auto"/>
          <w:highlight w:val="none"/>
        </w:rPr>
        <w:t>推荐中标候选人</w:t>
      </w:r>
      <w:bookmarkEnd w:id="829"/>
      <w:bookmarkEnd w:id="830"/>
      <w:bookmarkEnd w:id="831"/>
      <w:bookmarkEnd w:id="832"/>
      <w:bookmarkEnd w:id="833"/>
      <w:r>
        <w:rPr>
          <w:rFonts w:hint="eastAsia" w:ascii="宋体" w:hAnsi="宋体" w:cs="宋体"/>
          <w:b/>
          <w:bCs/>
          <w:color w:val="auto"/>
          <w:highlight w:val="none"/>
        </w:rPr>
        <w:t>：</w:t>
      </w:r>
      <w:r>
        <w:rPr>
          <w:rFonts w:hint="eastAsia" w:ascii="宋体" w:hAnsi="宋体" w:cs="宋体"/>
          <w:color w:val="auto"/>
          <w:highlight w:val="none"/>
        </w:rPr>
        <w:t>资信评审、商务标评审后，推荐</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2</w:t>
      </w:r>
      <w:r>
        <w:rPr>
          <w:rFonts w:hint="eastAsia" w:ascii="宋体" w:hAnsi="宋体" w:cs="宋体"/>
          <w:color w:val="auto"/>
          <w:highlight w:val="none"/>
          <w:u w:val="single"/>
        </w:rPr>
        <w:t xml:space="preserve"> </w:t>
      </w:r>
      <w:r>
        <w:rPr>
          <w:rFonts w:hint="eastAsia" w:ascii="宋体" w:hAnsi="宋体" w:cs="宋体"/>
          <w:color w:val="auto"/>
          <w:highlight w:val="none"/>
        </w:rPr>
        <w:t>名中标候选人。</w:t>
      </w:r>
    </w:p>
    <w:p>
      <w:pPr>
        <w:pStyle w:val="7"/>
        <w:spacing w:beforeLines="50" w:afterLines="50"/>
        <w:ind w:firstLine="422" w:firstLineChars="200"/>
        <w:rPr>
          <w:rFonts w:ascii="宋体" w:hAnsi="宋体" w:eastAsia="宋体" w:cs="宋体"/>
          <w:color w:val="auto"/>
          <w:highlight w:val="none"/>
        </w:rPr>
      </w:pPr>
      <w:bookmarkStart w:id="834" w:name="_Toc78803389"/>
      <w:r>
        <w:rPr>
          <w:rFonts w:hint="eastAsia" w:ascii="宋体" w:hAnsi="宋体" w:eastAsia="宋体" w:cs="宋体"/>
          <w:color w:val="auto"/>
          <w:highlight w:val="none"/>
        </w:rPr>
        <w:t>4.评审内容</w:t>
      </w:r>
      <w:bookmarkEnd w:id="823"/>
      <w:bookmarkEnd w:id="824"/>
      <w:bookmarkEnd w:id="825"/>
      <w:bookmarkEnd w:id="826"/>
      <w:bookmarkEnd w:id="827"/>
      <w:bookmarkEnd w:id="828"/>
      <w:bookmarkEnd w:id="834"/>
    </w:p>
    <w:p>
      <w:pPr>
        <w:pStyle w:val="7"/>
        <w:ind w:firstLine="422" w:firstLineChars="200"/>
        <w:rPr>
          <w:rFonts w:ascii="宋体" w:hAnsi="宋体" w:eastAsia="宋体" w:cs="宋体"/>
          <w:color w:val="auto"/>
          <w:highlight w:val="none"/>
        </w:rPr>
      </w:pPr>
      <w:bookmarkStart w:id="835" w:name="_Toc9630"/>
      <w:bookmarkStart w:id="836" w:name="_Toc78803390"/>
      <w:r>
        <w:rPr>
          <w:rFonts w:hint="eastAsia" w:ascii="宋体" w:hAnsi="宋体" w:eastAsia="宋体" w:cs="宋体"/>
          <w:color w:val="auto"/>
          <w:highlight w:val="none"/>
        </w:rPr>
        <w:t>4.1</w:t>
      </w:r>
      <w:bookmarkEnd w:id="835"/>
      <w:bookmarkEnd w:id="836"/>
      <w:bookmarkStart w:id="837" w:name="_Toc15058921"/>
      <w:bookmarkStart w:id="838" w:name="_Toc35425122"/>
      <w:bookmarkStart w:id="839" w:name="_Toc35424956"/>
      <w:bookmarkStart w:id="840" w:name="_Toc3531"/>
      <w:bookmarkStart w:id="841" w:name="_Toc78803391"/>
      <w:bookmarkStart w:id="842" w:name="_Toc324404876"/>
      <w:r>
        <w:rPr>
          <w:rFonts w:hint="eastAsia" w:ascii="宋体" w:hAnsi="宋体" w:eastAsia="宋体" w:cs="宋体"/>
          <w:color w:val="auto"/>
          <w:highlight w:val="none"/>
        </w:rPr>
        <w:t>商务标评审</w:t>
      </w:r>
      <w:bookmarkEnd w:id="837"/>
      <w:bookmarkEnd w:id="838"/>
      <w:bookmarkEnd w:id="839"/>
      <w:bookmarkEnd w:id="840"/>
      <w:bookmarkEnd w:id="841"/>
    </w:p>
    <w:p>
      <w:pPr>
        <w:spacing w:line="440" w:lineRule="exact"/>
        <w:ind w:firstLine="420" w:firstLineChars="200"/>
        <w:jc w:val="left"/>
        <w:rPr>
          <w:rFonts w:ascii="宋体" w:hAnsi="宋体" w:cs="宋体"/>
          <w:color w:val="auto"/>
          <w:highlight w:val="none"/>
        </w:rPr>
      </w:pPr>
      <w:r>
        <w:rPr>
          <w:rFonts w:hint="eastAsia" w:ascii="宋体" w:hAnsi="宋体" w:cs="宋体"/>
          <w:color w:val="auto"/>
          <w:highlight w:val="none"/>
        </w:rPr>
        <w:t>4.1.1形式性评审标准：见商务标评审表。</w:t>
      </w:r>
    </w:p>
    <w:p>
      <w:pPr>
        <w:spacing w:line="440" w:lineRule="exact"/>
        <w:ind w:firstLine="420" w:firstLineChars="200"/>
        <w:jc w:val="left"/>
        <w:rPr>
          <w:rFonts w:ascii="宋体" w:hAnsi="宋体" w:cs="宋体"/>
          <w:color w:val="auto"/>
          <w:highlight w:val="none"/>
        </w:rPr>
      </w:pPr>
      <w:r>
        <w:rPr>
          <w:rFonts w:hint="eastAsia" w:ascii="宋体" w:hAnsi="宋体" w:cs="宋体"/>
          <w:color w:val="auto"/>
          <w:highlight w:val="none"/>
        </w:rPr>
        <w:t>4.1.2响应性评审标准：见商务标评审表。</w:t>
      </w:r>
    </w:p>
    <w:p>
      <w:pPr>
        <w:spacing w:line="440" w:lineRule="exact"/>
        <w:ind w:firstLine="420" w:firstLineChars="200"/>
        <w:jc w:val="left"/>
        <w:rPr>
          <w:rFonts w:ascii="宋体" w:hAnsi="宋体" w:cs="宋体"/>
          <w:color w:val="auto"/>
          <w:highlight w:val="none"/>
        </w:rPr>
      </w:pPr>
      <w:r>
        <w:rPr>
          <w:rFonts w:hint="eastAsia" w:ascii="宋体" w:hAnsi="宋体" w:cs="宋体"/>
          <w:color w:val="auto"/>
          <w:highlight w:val="none"/>
        </w:rPr>
        <w:t>评标委员会依据上述标准对投标文件进行初步评审。有一项不符合评审标准的，作无效投标处理。</w:t>
      </w:r>
    </w:p>
    <w:p>
      <w:pPr>
        <w:adjustRightInd w:val="0"/>
        <w:snapToGrid w:val="0"/>
        <w:spacing w:line="560" w:lineRule="exact"/>
        <w:ind w:firstLine="420" w:firstLineChars="200"/>
        <w:rPr>
          <w:rFonts w:hint="eastAsia" w:ascii="宋体" w:hAnsi="宋体" w:cs="宋体"/>
          <w:color w:val="auto"/>
          <w:szCs w:val="21"/>
          <w:highlight w:val="none"/>
        </w:rPr>
      </w:pPr>
      <w:bookmarkStart w:id="843" w:name="_Toc35425123"/>
      <w:bookmarkStart w:id="844" w:name="_Toc506107328"/>
      <w:bookmarkStart w:id="845" w:name="_Toc78803392"/>
      <w:bookmarkStart w:id="846" w:name="_Toc13125"/>
      <w:bookmarkStart w:id="847" w:name="_Toc35424957"/>
      <w:bookmarkStart w:id="848" w:name="_Toc15058922"/>
      <w:r>
        <w:rPr>
          <w:rFonts w:hint="eastAsia" w:ascii="宋体" w:hAnsi="宋体" w:cs="宋体"/>
          <w:color w:val="auto"/>
          <w:szCs w:val="21"/>
          <w:highlight w:val="none"/>
        </w:rPr>
        <w:t>4.2.3详细评审标准：见商务标评审表。</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4.2.3.1投标报价清标：</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（1）清标是指通过对需要评审的工程量清单投标报价采用核对、比较、筛选等方法，对基础性数据进行分析和整理。其目的是找出投标文件中可能存在疑义或者显著异常的数据，为评审中的质疑工作提供基础。</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2</w:t>
      </w:r>
      <w:r>
        <w:rPr>
          <w:rFonts w:hint="eastAsia" w:ascii="宋体" w:hAnsi="宋体" w:eastAsia="宋体" w:cs="宋体"/>
          <w:color w:val="auto"/>
          <w:highlight w:val="none"/>
        </w:rPr>
        <w:t>）清标的内容和步骤：</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① 投标文件在符合性、响应性等方面存在的偏差。</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② 投标文件存在的算术计算错误和修正结果。</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③ 在列出的所有偏差中，属于重大偏差的情形和相关依据；在列出的所有偏差中、属于细微偏差的情形。</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④ 列出投标价格过高或过低等的清单项目的序号、项目编码、项目名称、项目特征、与招标文件规定的标准之间存在的偏差幅度和产生原因的摘录。</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4.2.4评标委员会审查投标文件，审核并确认清标结果，包括工程投标报价的校核、审查全部数据计算的正确性、分析各种费用构成的合理性和正确性等内容，看其是否有计算或表达上的错误，投标报价有错误的，评标委员会按以下原则对投标报价进行修正。</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（1）投标文件中的大写金额与小写金额不一致的，以大写金额为准。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（2）总价金额与依据单价计算出的结果不一致的，以单价金额为准修正总价，但单价金额小数点有明显错误的除外。</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（3）工程量清单报价表中综合单价与工程量清单项目价格分析表相对应综合单价不一致时，以工程量清单项目价格分析表中标出的综合单价为准。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pPr>
        <w:pStyle w:val="7"/>
        <w:spacing w:beforeLines="50" w:afterLines="50"/>
        <w:ind w:firstLine="422" w:firstLineChars="200"/>
        <w:rPr>
          <w:rFonts w:hint="eastAsia" w:ascii="宋体" w:hAnsi="宋体" w:eastAsia="宋体" w:cs="宋体"/>
          <w:color w:val="auto"/>
          <w:highlight w:val="none"/>
        </w:rPr>
      </w:pPr>
      <w:r>
        <w:rPr>
          <w:rFonts w:hint="eastAsia" w:ascii="宋体" w:hAnsi="宋体" w:eastAsia="宋体" w:cs="宋体"/>
          <w:color w:val="auto"/>
          <w:highlight w:val="none"/>
        </w:rPr>
        <w:t>5.无效投标条款</w:t>
      </w:r>
      <w:bookmarkEnd w:id="842"/>
      <w:bookmarkEnd w:id="843"/>
      <w:bookmarkEnd w:id="844"/>
      <w:bookmarkEnd w:id="845"/>
      <w:bookmarkEnd w:id="846"/>
      <w:bookmarkEnd w:id="847"/>
      <w:bookmarkEnd w:id="848"/>
    </w:p>
    <w:p>
      <w:pPr>
        <w:spacing w:line="440" w:lineRule="exact"/>
        <w:ind w:firstLine="420" w:firstLineChars="200"/>
        <w:jc w:val="left"/>
        <w:rPr>
          <w:rFonts w:hint="eastAsia" w:ascii="宋体" w:hAnsi="宋体" w:eastAsia="宋体" w:cs="宋体"/>
          <w:color w:val="auto"/>
          <w:highlight w:val="none"/>
        </w:rPr>
      </w:pPr>
      <w:bookmarkStart w:id="849" w:name="_Toc324404877"/>
      <w:bookmarkStart w:id="850" w:name="_Toc35424958"/>
      <w:bookmarkStart w:id="851" w:name="_Toc506107329"/>
      <w:bookmarkStart w:id="852" w:name="_Toc27846"/>
      <w:bookmarkStart w:id="853" w:name="_Toc15058923"/>
      <w:bookmarkStart w:id="854" w:name="_Toc78803393"/>
      <w:bookmarkStart w:id="855" w:name="_Toc35425124"/>
      <w:r>
        <w:rPr>
          <w:rFonts w:hint="eastAsia" w:ascii="宋体" w:hAnsi="宋体" w:eastAsia="宋体" w:cs="宋体"/>
          <w:color w:val="auto"/>
          <w:highlight w:val="none"/>
        </w:rPr>
        <w:t>5.1投标人存在下列情形的招标人将拒收投标文件：</w:t>
      </w:r>
    </w:p>
    <w:p>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（1）未在投标截止时间前通过电子邮箱递交有效电子投标文件的，投标将被拒绝。</w:t>
      </w:r>
    </w:p>
    <w:p>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（2）在提交投标文件截止时间后送达的投标文件将被拒绝，投标文件送达时间以滁州市城投工程咨询管理有限公司邮箱显示的邮件送达时间为准。</w:t>
      </w:r>
    </w:p>
    <w:p>
      <w:pPr>
        <w:spacing w:line="440" w:lineRule="exact"/>
        <w:ind w:firstLine="315" w:firstLineChars="150"/>
        <w:jc w:val="left"/>
        <w:rPr>
          <w:rFonts w:ascii="宋体" w:hAnsi="宋体" w:cs="宋体"/>
          <w:color w:val="auto"/>
          <w:highlight w:val="none"/>
        </w:rPr>
      </w:pPr>
      <w:r>
        <w:rPr>
          <w:rFonts w:hint="eastAsia" w:ascii="宋体" w:hAnsi="宋体" w:cs="宋体"/>
          <w:color w:val="auto"/>
          <w:highlight w:val="none"/>
        </w:rPr>
        <w:t>（3）未在规定时间内发送密码或发送的密码无法正确打开投标文件的，投标文件将被拒绝。</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5.2投标人有下列情形的，经评审后其投标作无效投标处理：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商务标评审</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(1)评标委员会依据《商务标评审表》进行形式性评审和响应性评审。有一项不符合评审标准的，做无效投标处理；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（2）商务标详细评审标准中有任何一项不能通过评审的，作无效投标处理。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5.3其他无效投标情况：</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（2）按第四章“评标方法”第4.2.4项修正错误的原则及方法调整或修正投标文件的投标报价，调整或修正的价格经投标人书面确认后具有约束力。投标人不接受修正价格的，其投标将被拒绝。</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（3）第二章“投标人须知”第1.4.3项规定的任何一种情形的。</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（4）投标人有串通投标、视为串通投标、弄虚作假、行贿等违法行为。</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（5）投标文件没有对招标文件的实质性要求和条件作出响应。</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（6）未按规定的格式填写导致实质性内容不全以及实质上不响应，或者关键字迹模糊、无法辨认。</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（7）同一投标人提交两个以上不同的投标文件或者投标报价，但招标文件规定提交备选投标的除外。</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（8）投标文件中存在招标人不能接受的其他实质性条件。</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（9）投标文件中填报的拟任项目经理（建造师）与资格审查通过的项目经理（建造师）前后不一致的。</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（10）投标人拒不按照要求对投标文件进行澄清、说明、补正的，或评标委员会根据招标文件的规定对招标文件的计算错误进行修正后，投标人不接受修正的投标报价的。</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）投标人单方面出现其他投标人材料。</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）投标人联系人或联系电话相同的。</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13</w:t>
      </w:r>
      <w:r>
        <w:rPr>
          <w:rFonts w:hint="eastAsia" w:ascii="宋体" w:hAnsi="宋体" w:eastAsia="宋体" w:cs="宋体"/>
          <w:color w:val="auto"/>
          <w:highlight w:val="none"/>
        </w:rPr>
        <w:t>）法律、法规规定的其他情形。</w:t>
      </w:r>
    </w:p>
    <w:p>
      <w:pPr>
        <w:pStyle w:val="7"/>
        <w:spacing w:beforeLines="50" w:afterLines="50"/>
        <w:ind w:firstLine="422" w:firstLineChars="200"/>
        <w:rPr>
          <w:rFonts w:hint="eastAsia" w:ascii="宋体" w:hAnsi="宋体" w:eastAsia="宋体" w:cs="宋体"/>
          <w:color w:val="auto"/>
          <w:highlight w:val="none"/>
        </w:rPr>
      </w:pPr>
      <w:bookmarkStart w:id="856" w:name="_Toc95223409"/>
      <w:r>
        <w:rPr>
          <w:rFonts w:hint="eastAsia" w:ascii="宋体" w:hAnsi="宋体" w:eastAsia="宋体" w:cs="宋体"/>
          <w:color w:val="auto"/>
          <w:highlight w:val="none"/>
        </w:rPr>
        <w:t>6.投标文件的澄清和补正</w:t>
      </w:r>
      <w:bookmarkEnd w:id="856"/>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6.1在评标过程中，评标委员会可以书面形式要求投标</w:t>
      </w:r>
      <w:bookmarkStart w:id="857" w:name="_Toc60061506"/>
      <w:r>
        <w:rPr>
          <w:rFonts w:hint="eastAsia" w:ascii="宋体" w:hAnsi="宋体" w:eastAsia="宋体" w:cs="宋体"/>
          <w:color w:val="auto"/>
          <w:highlight w:val="none"/>
        </w:rPr>
        <w:t>人对所提交的投标文件中含</w:t>
      </w:r>
      <w:bookmarkEnd w:id="857"/>
      <w:r>
        <w:rPr>
          <w:rFonts w:hint="eastAsia" w:ascii="宋体" w:hAnsi="宋体" w:eastAsia="宋体" w:cs="宋体"/>
          <w:color w:val="auto"/>
          <w:highlight w:val="none"/>
        </w:rPr>
        <w:t>义不明确、对同类问题表述不一致或者有明显文字和计算错误的内容进行书面澄清或说明，或者对细微偏差进行补正。评标委员会不接受投标人主动提出的澄清、说明或补正。</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6.2澄清、说明和补正不得改变投标文件的实质性内容（算术性错误修正的除外）。投标人的书面澄清、说明和补正属于投标文件的组成部分。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6.3评标委员会对投标人提交的澄清、说明和补正有疑问的，可以要求投标人进一步澄清、说明或补正、直至满足评标委员会的要求。</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按照投标文件规定进行澄清、补正后的投标报价经投标人的法定代表人或其委托代理人确认后即为该投标人的最终投标报价。投标人一旦中标，此报价即为中标价。</w:t>
      </w:r>
    </w:p>
    <w:bookmarkEnd w:id="797"/>
    <w:bookmarkEnd w:id="798"/>
    <w:bookmarkEnd w:id="799"/>
    <w:bookmarkEnd w:id="800"/>
    <w:bookmarkEnd w:id="801"/>
    <w:bookmarkEnd w:id="802"/>
    <w:bookmarkEnd w:id="803"/>
    <w:bookmarkEnd w:id="804"/>
    <w:bookmarkEnd w:id="849"/>
    <w:bookmarkEnd w:id="850"/>
    <w:bookmarkEnd w:id="851"/>
    <w:bookmarkEnd w:id="852"/>
    <w:bookmarkEnd w:id="853"/>
    <w:bookmarkEnd w:id="854"/>
    <w:bookmarkEnd w:id="855"/>
    <w:p>
      <w:pPr>
        <w:pStyle w:val="7"/>
        <w:spacing w:beforeLines="50" w:afterLines="50"/>
        <w:ind w:firstLine="422" w:firstLineChars="200"/>
        <w:rPr>
          <w:rFonts w:hint="eastAsia" w:ascii="宋体" w:hAnsi="宋体" w:eastAsia="宋体" w:cs="宋体"/>
          <w:color w:val="auto"/>
          <w:highlight w:val="none"/>
        </w:rPr>
      </w:pPr>
      <w:bookmarkStart w:id="858" w:name="_Toc95223410"/>
      <w:bookmarkStart w:id="859" w:name="_Toc15058927"/>
      <w:bookmarkStart w:id="860" w:name="_Toc506107333"/>
      <w:bookmarkStart w:id="861" w:name="_Toc35425128"/>
      <w:bookmarkStart w:id="862" w:name="_Toc35424962"/>
      <w:bookmarkStart w:id="863" w:name="_Toc179632785"/>
      <w:bookmarkStart w:id="864" w:name="_Toc144974826"/>
      <w:bookmarkStart w:id="865" w:name="_Toc152045767"/>
      <w:bookmarkStart w:id="866" w:name="_Toc152042546"/>
      <w:r>
        <w:rPr>
          <w:rFonts w:hint="eastAsia" w:ascii="宋体" w:hAnsi="宋体" w:eastAsia="宋体" w:cs="宋体"/>
          <w:color w:val="auto"/>
          <w:highlight w:val="none"/>
        </w:rPr>
        <w:t>7.评分标准</w:t>
      </w:r>
      <w:bookmarkEnd w:id="858"/>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7.1商务标评分标准：见商务标评审表。</w:t>
      </w:r>
    </w:p>
    <w:p>
      <w:pPr>
        <w:pStyle w:val="7"/>
        <w:spacing w:beforeLines="50" w:afterLines="50"/>
        <w:ind w:firstLine="422" w:firstLineChars="200"/>
        <w:rPr>
          <w:rFonts w:hint="eastAsia" w:ascii="宋体" w:hAnsi="宋体" w:eastAsia="宋体" w:cs="宋体"/>
          <w:color w:val="auto"/>
          <w:highlight w:val="none"/>
        </w:rPr>
      </w:pPr>
      <w:bookmarkStart w:id="867" w:name="_Toc95223411"/>
      <w:r>
        <w:rPr>
          <w:rFonts w:hint="eastAsia" w:ascii="宋体" w:hAnsi="宋体" w:eastAsia="宋体" w:cs="宋体"/>
          <w:color w:val="auto"/>
          <w:highlight w:val="none"/>
        </w:rPr>
        <w:t>8.评审结果</w:t>
      </w:r>
      <w:bookmarkEnd w:id="867"/>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8.1除第二章“投标人须知”及其前附表授权直接确定中标人外，评</w:t>
      </w:r>
      <w:bookmarkStart w:id="868" w:name="_Toc15058925"/>
      <w:bookmarkStart w:id="869" w:name="_Toc60061508"/>
      <w:bookmarkStart w:id="870" w:name="_Toc324404879"/>
      <w:bookmarkStart w:id="871" w:name="_Toc506107331"/>
      <w:r>
        <w:rPr>
          <w:rFonts w:hint="eastAsia" w:ascii="宋体" w:hAnsi="宋体" w:eastAsia="宋体" w:cs="宋体"/>
          <w:color w:val="auto"/>
          <w:highlight w:val="none"/>
        </w:rPr>
        <w:t>标委员会</w:t>
      </w:r>
      <w:bookmarkEnd w:id="868"/>
      <w:bookmarkEnd w:id="869"/>
      <w:bookmarkEnd w:id="870"/>
      <w:bookmarkEnd w:id="871"/>
      <w:r>
        <w:rPr>
          <w:rFonts w:hint="eastAsia" w:ascii="宋体" w:hAnsi="宋体" w:eastAsia="宋体" w:cs="宋体"/>
          <w:color w:val="auto"/>
          <w:highlight w:val="none"/>
        </w:rPr>
        <w:t>按有效报价由低到高的顺序推荐中标候选人）。</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8.2评标委员会完成评标后，应当向招标人提交书面评标报告。评标报告应当如实记载以下内容：</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（1）基本情况和数据表。</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（2）评标委员会成员名单。</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（3）开标记录。</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（4）符合要求的投标人一览表。</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（5）否决投标情况说明。</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（6）评标标准、评标方法或者评标因素。</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（7）经评审的价格比较一览表。</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（8）经评审的投标人排序。</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（9）推荐的中标候选人名单与签订合同前要处理的事宜。</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（10）澄清、说明、补正事项纪要。</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8.3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除第一中标候选人或者中标人以外的其他投标人存在串通投标、弄虚作假、行贿情形且在评标过程中未被发现的，视为对中标结果没有造成实质性影响，招标人可以依法继续开展招标活动。</w:t>
      </w:r>
    </w:p>
    <w:p>
      <w:pPr>
        <w:pStyle w:val="7"/>
        <w:spacing w:beforeLines="50" w:afterLines="50"/>
        <w:ind w:firstLine="422" w:firstLineChars="200"/>
        <w:rPr>
          <w:rFonts w:hint="eastAsia" w:ascii="宋体" w:hAnsi="宋体" w:eastAsia="宋体" w:cs="宋体"/>
          <w:color w:val="auto"/>
          <w:highlight w:val="none"/>
        </w:rPr>
      </w:pPr>
      <w:bookmarkStart w:id="872" w:name="_Toc95223412"/>
      <w:r>
        <w:rPr>
          <w:rFonts w:hint="eastAsia" w:ascii="宋体" w:hAnsi="宋体" w:eastAsia="宋体" w:cs="宋体"/>
          <w:color w:val="auto"/>
          <w:highlight w:val="none"/>
        </w:rPr>
        <w:t>9.其他</w:t>
      </w:r>
      <w:bookmarkEnd w:id="872"/>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投标人提供的与投标文件有关的各类证书、证明、文件、资料等的真实性、</w:t>
      </w:r>
      <w:bookmarkStart w:id="873" w:name="_Toc15058926"/>
      <w:bookmarkStart w:id="874" w:name="_Toc506107332"/>
      <w:bookmarkStart w:id="875" w:name="_Toc60061509"/>
      <w:bookmarkStart w:id="876" w:name="_Toc324404880"/>
      <w:r>
        <w:rPr>
          <w:rFonts w:hint="eastAsia" w:ascii="宋体" w:hAnsi="宋体" w:eastAsia="宋体" w:cs="宋体"/>
          <w:color w:val="auto"/>
          <w:highlight w:val="none"/>
        </w:rPr>
        <w:t>合法性由</w:t>
      </w:r>
      <w:bookmarkEnd w:id="873"/>
      <w:bookmarkEnd w:id="874"/>
      <w:bookmarkEnd w:id="875"/>
      <w:bookmarkEnd w:id="876"/>
      <w:r>
        <w:rPr>
          <w:rFonts w:hint="eastAsia" w:ascii="宋体" w:hAnsi="宋体" w:eastAsia="宋体" w:cs="宋体"/>
          <w:color w:val="auto"/>
          <w:highlight w:val="none"/>
        </w:rPr>
        <w:t>投标人负全责。</w:t>
      </w:r>
    </w:p>
    <w:p>
      <w:pPr>
        <w:rPr>
          <w:color w:val="auto"/>
          <w:highlight w:val="none"/>
        </w:rPr>
      </w:pPr>
    </w:p>
    <w:p>
      <w:pPr>
        <w:rPr>
          <w:rFonts w:hint="eastAsia"/>
          <w:color w:val="auto"/>
          <w:highlight w:val="none"/>
        </w:rPr>
      </w:pPr>
      <w:r>
        <w:rPr>
          <w:rFonts w:hint="eastAsia"/>
          <w:color w:val="auto"/>
          <w:highlight w:val="none"/>
        </w:rPr>
        <w:br w:type="page"/>
      </w:r>
      <w:bookmarkStart w:id="877" w:name="_Toc78803397"/>
    </w:p>
    <w:bookmarkEnd w:id="859"/>
    <w:bookmarkEnd w:id="860"/>
    <w:bookmarkEnd w:id="861"/>
    <w:bookmarkEnd w:id="862"/>
    <w:bookmarkEnd w:id="877"/>
    <w:p>
      <w:pPr>
        <w:pStyle w:val="6"/>
        <w:kinsoku/>
        <w:overflowPunct/>
        <w:bidi w:val="0"/>
        <w:adjustRightInd w:val="0"/>
        <w:snapToGrid w:val="0"/>
        <w:spacing w:before="0" w:after="0" w:line="440" w:lineRule="exact"/>
        <w:jc w:val="center"/>
        <w:rPr>
          <w:rFonts w:hint="eastAsia"/>
          <w:color w:val="auto"/>
          <w:highlight w:val="none"/>
        </w:rPr>
      </w:pPr>
      <w:bookmarkStart w:id="878" w:name="_Toc27608"/>
      <w:r>
        <w:rPr>
          <w:rFonts w:hint="eastAsia"/>
          <w:color w:val="auto"/>
          <w:highlight w:val="none"/>
        </w:rPr>
        <w:t xml:space="preserve">第五章 </w:t>
      </w:r>
      <w:r>
        <w:rPr>
          <w:rFonts w:hint="eastAsia"/>
          <w:color w:val="auto"/>
          <w:highlight w:val="none"/>
          <w:lang w:val="en-US" w:eastAsia="zh-CN"/>
        </w:rPr>
        <w:t xml:space="preserve"> </w:t>
      </w:r>
      <w:r>
        <w:rPr>
          <w:rFonts w:hint="eastAsia"/>
          <w:color w:val="auto"/>
          <w:highlight w:val="none"/>
        </w:rPr>
        <w:t>合同条款及格式</w:t>
      </w:r>
      <w:bookmarkEnd w:id="878"/>
    </w:p>
    <w:p>
      <w:pPr>
        <w:kinsoku/>
        <w:overflowPunct/>
        <w:bidi w:val="0"/>
        <w:adjustRightInd w:val="0"/>
        <w:snapToGrid w:val="0"/>
        <w:spacing w:line="440" w:lineRule="exact"/>
        <w:jc w:val="center"/>
        <w:rPr>
          <w:rFonts w:hint="eastAsia" w:eastAsia="仿宋_GB2312"/>
          <w:bCs/>
          <w:color w:val="auto"/>
          <w:sz w:val="32"/>
          <w:szCs w:val="32"/>
          <w:highlight w:val="none"/>
        </w:rPr>
      </w:pPr>
    </w:p>
    <w:p>
      <w:pPr>
        <w:ind w:firstLine="643" w:firstLineChars="200"/>
        <w:rPr>
          <w:rFonts w:hint="eastAsia" w:ascii="宋体" w:hAnsi="宋体" w:cs="宋体"/>
          <w:b/>
          <w:color w:val="auto"/>
          <w:sz w:val="32"/>
          <w:szCs w:val="32"/>
          <w:highlight w:val="none"/>
        </w:rPr>
      </w:pPr>
      <w:bookmarkStart w:id="879" w:name="_Toc184263479"/>
      <w:bookmarkStart w:id="880" w:name="_Toc2094516902"/>
      <w:r>
        <w:rPr>
          <w:rFonts w:hint="eastAsia" w:ascii="宋体" w:hAnsi="宋体" w:cs="宋体"/>
          <w:b/>
          <w:color w:val="auto"/>
          <w:sz w:val="32"/>
          <w:szCs w:val="32"/>
          <w:highlight w:val="none"/>
        </w:rPr>
        <w:t>本项目合同待确定中标人后双方制定,主要内容包括但不限于中标</w:t>
      </w:r>
      <w:r>
        <w:rPr>
          <w:rFonts w:hint="eastAsia" w:ascii="宋体" w:hAnsi="宋体" w:cs="宋体"/>
          <w:b/>
          <w:color w:val="auto"/>
          <w:sz w:val="32"/>
          <w:szCs w:val="32"/>
          <w:highlight w:val="none"/>
          <w:lang w:val="en-US" w:eastAsia="zh-CN"/>
        </w:rPr>
        <w:t>价格</w:t>
      </w:r>
      <w:r>
        <w:rPr>
          <w:rFonts w:hint="eastAsia" w:ascii="宋体" w:hAnsi="宋体" w:cs="宋体"/>
          <w:b/>
          <w:color w:val="auto"/>
          <w:sz w:val="32"/>
          <w:szCs w:val="32"/>
          <w:highlight w:val="none"/>
        </w:rPr>
        <w:t>、供货期、结算价、付款方式等。其他详细内容双方协商确定。</w:t>
      </w:r>
      <w:bookmarkEnd w:id="879"/>
      <w:bookmarkEnd w:id="880"/>
    </w:p>
    <w:p>
      <w:pPr>
        <w:ind w:firstLine="643" w:firstLineChars="200"/>
        <w:rPr>
          <w:rFonts w:hint="eastAsia" w:ascii="宋体" w:hAnsi="宋体" w:eastAsia="宋体" w:cs="宋体"/>
          <w:b/>
          <w:color w:val="auto"/>
          <w:sz w:val="32"/>
          <w:szCs w:val="32"/>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keepNext/>
        <w:keepLines/>
        <w:spacing w:line="360" w:lineRule="auto"/>
        <w:ind w:firstLine="420"/>
        <w:jc w:val="center"/>
        <w:outlineLvl w:val="0"/>
        <w:rPr>
          <w:rFonts w:hint="eastAsia" w:ascii="宋体" w:hAnsi="宋体" w:cs="宋体"/>
          <w:bCs/>
          <w:color w:val="auto"/>
          <w:kern w:val="44"/>
          <w:sz w:val="36"/>
          <w:szCs w:val="36"/>
          <w:highlight w:val="none"/>
        </w:rPr>
      </w:pPr>
      <w:bookmarkStart w:id="881" w:name="_Toc95223515"/>
      <w:bookmarkStart w:id="882" w:name="_Toc4767"/>
    </w:p>
    <w:p>
      <w:pPr>
        <w:keepNext/>
        <w:keepLines/>
        <w:numPr>
          <w:ilvl w:val="0"/>
          <w:numId w:val="0"/>
        </w:numPr>
        <w:spacing w:line="360" w:lineRule="auto"/>
        <w:jc w:val="center"/>
        <w:outlineLvl w:val="0"/>
        <w:rPr>
          <w:rFonts w:hint="eastAsia" w:ascii="Times New Roman" w:hAnsi="Times New Roman" w:eastAsia="宋体" w:cs="Times New Roman"/>
          <w:b/>
          <w:bCs/>
          <w:color w:val="auto"/>
          <w:kern w:val="44"/>
          <w:sz w:val="44"/>
          <w:szCs w:val="44"/>
          <w:highlight w:val="none"/>
          <w:lang w:val="en-US" w:eastAsia="zh-CN" w:bidi="ar-SA"/>
        </w:rPr>
      </w:pPr>
      <w:r>
        <w:rPr>
          <w:rFonts w:hint="eastAsia" w:ascii="Times New Roman" w:hAnsi="Times New Roman" w:eastAsia="宋体" w:cs="Times New Roman"/>
          <w:b/>
          <w:bCs/>
          <w:color w:val="auto"/>
          <w:kern w:val="44"/>
          <w:sz w:val="44"/>
          <w:szCs w:val="44"/>
          <w:highlight w:val="none"/>
          <w:lang w:val="en-US" w:eastAsia="zh-CN" w:bidi="ar-SA"/>
        </w:rPr>
        <w:t>第六章 工程量清单</w:t>
      </w:r>
      <w:bookmarkEnd w:id="881"/>
      <w:bookmarkEnd w:id="882"/>
    </w:p>
    <w:p>
      <w:pPr>
        <w:adjustRightInd w:val="0"/>
        <w:snapToGrid w:val="0"/>
        <w:spacing w:line="360" w:lineRule="auto"/>
        <w:ind w:firstLine="840" w:firstLineChars="400"/>
        <w:jc w:val="center"/>
        <w:rPr>
          <w:rFonts w:hint="eastAsia" w:ascii="宋体" w:hAnsi="宋体" w:cs="宋体"/>
          <w:color w:val="auto"/>
          <w:szCs w:val="21"/>
          <w:highlight w:val="none"/>
          <w:lang w:val="en-US" w:eastAsia="zh-CN"/>
        </w:rPr>
      </w:pPr>
    </w:p>
    <w:p>
      <w:pPr>
        <w:adjustRightInd w:val="0"/>
        <w:snapToGrid w:val="0"/>
        <w:spacing w:line="360" w:lineRule="auto"/>
        <w:ind w:firstLine="840" w:firstLineChars="40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另附</w:t>
      </w:r>
      <w:r>
        <w:rPr>
          <w:rFonts w:hint="eastAsia" w:ascii="宋体" w:hAnsi="宋体" w:cs="宋体"/>
          <w:color w:val="auto"/>
          <w:szCs w:val="21"/>
          <w:highlight w:val="none"/>
          <w:lang w:eastAsia="zh-CN"/>
        </w:rPr>
        <w:t>。</w:t>
      </w:r>
    </w:p>
    <w:p>
      <w:pPr>
        <w:rPr>
          <w:rFonts w:hint="eastAsia" w:ascii="宋体" w:hAnsi="宋体" w:cs="宋体"/>
          <w:b/>
          <w:color w:val="auto"/>
          <w:highlight w:val="none"/>
        </w:rPr>
      </w:pPr>
    </w:p>
    <w:p>
      <w:pPr>
        <w:keepNext/>
        <w:keepLines/>
        <w:numPr>
          <w:ilvl w:val="0"/>
          <w:numId w:val="0"/>
        </w:numPr>
        <w:spacing w:line="360" w:lineRule="auto"/>
        <w:jc w:val="center"/>
        <w:outlineLvl w:val="0"/>
        <w:rPr>
          <w:rFonts w:hint="eastAsia" w:ascii="Times New Roman" w:hAnsi="Times New Roman" w:eastAsia="宋体" w:cs="Times New Roman"/>
          <w:b/>
          <w:bCs/>
          <w:color w:val="auto"/>
          <w:kern w:val="44"/>
          <w:sz w:val="44"/>
          <w:szCs w:val="44"/>
          <w:highlight w:val="none"/>
          <w:lang w:val="en-US" w:eastAsia="zh-CN" w:bidi="ar-SA"/>
        </w:rPr>
      </w:pPr>
      <w:bookmarkStart w:id="883" w:name="_Toc10656"/>
      <w:bookmarkStart w:id="884" w:name="_Toc95223522"/>
      <w:r>
        <w:rPr>
          <w:rFonts w:hint="eastAsia" w:ascii="Times New Roman" w:hAnsi="Times New Roman" w:eastAsia="宋体" w:cs="Times New Roman"/>
          <w:b/>
          <w:bCs/>
          <w:color w:val="auto"/>
          <w:kern w:val="44"/>
          <w:sz w:val="44"/>
          <w:szCs w:val="44"/>
          <w:highlight w:val="none"/>
          <w:lang w:val="en-US" w:eastAsia="zh-CN" w:bidi="ar-SA"/>
        </w:rPr>
        <w:t>第七章 图纸</w:t>
      </w:r>
      <w:bookmarkEnd w:id="883"/>
      <w:bookmarkEnd w:id="884"/>
    </w:p>
    <w:p>
      <w:pPr>
        <w:numPr>
          <w:ilvl w:val="0"/>
          <w:numId w:val="0"/>
        </w:numPr>
        <w:jc w:val="center"/>
        <w:outlineLvl w:val="1"/>
        <w:rPr>
          <w:rFonts w:hint="eastAsia" w:ascii="宋体" w:hAnsi="宋体" w:cs="宋体"/>
          <w:color w:val="auto"/>
          <w:highlight w:val="none"/>
        </w:rPr>
      </w:pPr>
      <w:bookmarkStart w:id="885" w:name="_Toc95223524"/>
      <w:bookmarkStart w:id="886" w:name="_Toc23955"/>
    </w:p>
    <w:p>
      <w:pPr>
        <w:numPr>
          <w:ilvl w:val="0"/>
          <w:numId w:val="0"/>
        </w:numPr>
        <w:jc w:val="center"/>
        <w:outlineLvl w:val="1"/>
        <w:rPr>
          <w:rFonts w:hint="eastAsia" w:ascii="宋体" w:hAnsi="宋体" w:cs="宋体"/>
          <w:color w:val="auto"/>
          <w:highlight w:val="none"/>
        </w:rPr>
      </w:pPr>
      <w:r>
        <w:rPr>
          <w:rFonts w:hint="eastAsia" w:ascii="宋体" w:hAnsi="宋体" w:cs="宋体"/>
          <w:color w:val="auto"/>
          <w:highlight w:val="none"/>
          <w:lang w:val="en-US" w:eastAsia="zh-CN"/>
        </w:rPr>
        <w:t xml:space="preserve">        </w:t>
      </w:r>
      <w:r>
        <w:rPr>
          <w:rFonts w:hint="eastAsia" w:ascii="宋体" w:hAnsi="宋体" w:cs="宋体"/>
          <w:color w:val="auto"/>
          <w:highlight w:val="none"/>
        </w:rPr>
        <w:t>另</w:t>
      </w:r>
      <w:r>
        <w:rPr>
          <w:rFonts w:hint="eastAsia" w:ascii="宋体" w:hAnsi="宋体" w:cs="宋体"/>
          <w:color w:val="auto"/>
          <w:highlight w:val="none"/>
          <w:lang w:val="en-US" w:eastAsia="zh-CN"/>
        </w:rPr>
        <w:t>附</w:t>
      </w:r>
      <w:bookmarkEnd w:id="885"/>
      <w:bookmarkEnd w:id="886"/>
      <w:r>
        <w:rPr>
          <w:rFonts w:hint="eastAsia" w:ascii="宋体" w:hAnsi="宋体" w:cs="宋体"/>
          <w:color w:val="auto"/>
          <w:highlight w:val="none"/>
          <w:lang w:val="en-US" w:eastAsia="zh-CN"/>
        </w:rPr>
        <w:t>。</w:t>
      </w:r>
    </w:p>
    <w:p>
      <w:pPr>
        <w:keepNext/>
        <w:keepLines/>
        <w:numPr>
          <w:ilvl w:val="0"/>
          <w:numId w:val="0"/>
        </w:numPr>
        <w:spacing w:line="360" w:lineRule="auto"/>
        <w:jc w:val="center"/>
        <w:outlineLvl w:val="0"/>
        <w:rPr>
          <w:rFonts w:hint="default" w:ascii="Times New Roman" w:hAnsi="Times New Roman" w:eastAsia="宋体" w:cs="Times New Roman"/>
          <w:b/>
          <w:bCs/>
          <w:color w:val="auto"/>
          <w:kern w:val="44"/>
          <w:sz w:val="44"/>
          <w:szCs w:val="44"/>
          <w:highlight w:val="none"/>
          <w:lang w:val="en-US" w:eastAsia="zh-CN" w:bidi="ar-SA"/>
        </w:rPr>
      </w:pPr>
      <w:r>
        <w:rPr>
          <w:rFonts w:hint="eastAsia" w:ascii="Times New Roman" w:hAnsi="Times New Roman" w:eastAsia="宋体" w:cs="Times New Roman"/>
          <w:b/>
          <w:bCs/>
          <w:color w:val="auto"/>
          <w:kern w:val="44"/>
          <w:sz w:val="44"/>
          <w:szCs w:val="44"/>
          <w:highlight w:val="none"/>
          <w:lang w:val="en-US" w:eastAsia="zh-CN" w:bidi="ar-SA"/>
        </w:rPr>
        <w:t xml:space="preserve"> 第八章 技术标准和要求</w:t>
      </w:r>
    </w:p>
    <w:p>
      <w:pPr>
        <w:numPr>
          <w:ilvl w:val="0"/>
          <w:numId w:val="0"/>
        </w:numPr>
        <w:jc w:val="center"/>
        <w:outlineLvl w:val="1"/>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图纸和工程量清单中的所有内容</w:t>
      </w:r>
      <w:r>
        <w:rPr>
          <w:rFonts w:hint="eastAsia" w:ascii="宋体" w:hAnsi="宋体" w:cs="宋体"/>
          <w:color w:val="auto"/>
          <w:highlight w:val="none"/>
          <w:lang w:val="en-US" w:eastAsia="zh-CN"/>
        </w:rPr>
        <w:t>。</w:t>
      </w:r>
    </w:p>
    <w:bookmarkEnd w:id="863"/>
    <w:bookmarkEnd w:id="864"/>
    <w:bookmarkEnd w:id="865"/>
    <w:bookmarkEnd w:id="866"/>
    <w:p>
      <w:pPr>
        <w:numPr>
          <w:ilvl w:val="0"/>
          <w:numId w:val="0"/>
        </w:numPr>
        <w:jc w:val="center"/>
        <w:outlineLvl w:val="1"/>
        <w:rPr>
          <w:rFonts w:hint="eastAsia" w:ascii="宋体" w:hAnsi="宋体" w:eastAsia="宋体" w:cs="宋体"/>
          <w:color w:val="auto"/>
          <w:highlight w:val="none"/>
        </w:rPr>
      </w:pPr>
    </w:p>
    <w:p>
      <w:pPr>
        <w:pStyle w:val="44"/>
        <w:spacing w:beforeLines="50" w:afterLines="50" w:line="440" w:lineRule="exact"/>
        <w:rPr>
          <w:bCs/>
          <w:color w:val="auto"/>
          <w:szCs w:val="32"/>
          <w:highlight w:val="none"/>
        </w:rPr>
      </w:pPr>
      <w:bookmarkStart w:id="887" w:name="_Toc506107340"/>
      <w:bookmarkStart w:id="888" w:name="_Toc152042575"/>
      <w:bookmarkStart w:id="889" w:name="_Toc78803398"/>
      <w:bookmarkStart w:id="890" w:name="_Toc246996354"/>
      <w:bookmarkStart w:id="891" w:name="_Toc35425136"/>
      <w:bookmarkStart w:id="892" w:name="_Toc324404888"/>
      <w:bookmarkStart w:id="893" w:name="_Toc152045786"/>
      <w:bookmarkStart w:id="894" w:name="_Toc15058934"/>
      <w:bookmarkStart w:id="895" w:name="_Toc35424970"/>
      <w:bookmarkStart w:id="896" w:name="_Toc246997097"/>
      <w:bookmarkStart w:id="897" w:name="_Toc144974855"/>
      <w:bookmarkStart w:id="898" w:name="_Toc179632806"/>
      <w:bookmarkStart w:id="899" w:name="_Toc247085872"/>
      <w:r>
        <w:rPr>
          <w:rFonts w:hint="eastAsia"/>
          <w:bCs/>
          <w:color w:val="auto"/>
          <w:szCs w:val="32"/>
          <w:highlight w:val="none"/>
        </w:rPr>
        <w:br w:type="page"/>
      </w:r>
      <w:r>
        <w:rPr>
          <w:rFonts w:hint="eastAsia"/>
          <w:bCs/>
          <w:color w:val="auto"/>
          <w:szCs w:val="32"/>
          <w:highlight w:val="none"/>
        </w:rPr>
        <w:t>第</w:t>
      </w:r>
      <w:r>
        <w:rPr>
          <w:rFonts w:hint="eastAsia"/>
          <w:bCs/>
          <w:color w:val="auto"/>
          <w:szCs w:val="32"/>
          <w:highlight w:val="none"/>
          <w:lang w:val="en-US" w:eastAsia="zh-CN"/>
        </w:rPr>
        <w:t>九</w:t>
      </w:r>
      <w:r>
        <w:rPr>
          <w:rFonts w:hint="eastAsia"/>
          <w:bCs/>
          <w:color w:val="auto"/>
          <w:szCs w:val="32"/>
          <w:highlight w:val="none"/>
        </w:rPr>
        <w:t>章  投标文件格式</w:t>
      </w:r>
      <w:bookmarkEnd w:id="887"/>
      <w:bookmarkEnd w:id="888"/>
      <w:bookmarkEnd w:id="889"/>
      <w:bookmarkEnd w:id="890"/>
      <w:bookmarkEnd w:id="891"/>
      <w:bookmarkEnd w:id="892"/>
      <w:bookmarkEnd w:id="893"/>
      <w:bookmarkEnd w:id="894"/>
      <w:bookmarkEnd w:id="895"/>
      <w:bookmarkEnd w:id="896"/>
      <w:bookmarkEnd w:id="897"/>
      <w:bookmarkEnd w:id="898"/>
      <w:bookmarkEnd w:id="899"/>
    </w:p>
    <w:p>
      <w:pPr>
        <w:rPr>
          <w:color w:val="auto"/>
          <w:highlight w:val="none"/>
        </w:rPr>
      </w:pPr>
    </w:p>
    <w:p>
      <w:pPr>
        <w:rPr>
          <w:color w:val="auto"/>
          <w:highlight w:val="none"/>
        </w:rPr>
      </w:pPr>
    </w:p>
    <w:p>
      <w:pPr>
        <w:rPr>
          <w:color w:val="auto"/>
          <w:highlight w:val="none"/>
        </w:rPr>
      </w:pPr>
    </w:p>
    <w:p>
      <w:pPr>
        <w:jc w:val="center"/>
        <w:rPr>
          <w:rFonts w:eastAsia="黑体"/>
          <w:color w:val="auto"/>
          <w:sz w:val="20"/>
          <w:szCs w:val="20"/>
          <w:highlight w:val="none"/>
        </w:rPr>
      </w:pPr>
      <w:r>
        <w:rPr>
          <w:rFonts w:eastAsia="黑体"/>
          <w:color w:val="auto"/>
          <w:sz w:val="28"/>
          <w:szCs w:val="28"/>
          <w:highlight w:val="none"/>
        </w:rPr>
        <w:t>（项目名称）</w:t>
      </w:r>
    </w:p>
    <w:p>
      <w:pPr>
        <w:jc w:val="center"/>
        <w:rPr>
          <w:rFonts w:eastAsia="黑体"/>
          <w:color w:val="auto"/>
          <w:sz w:val="20"/>
          <w:szCs w:val="20"/>
          <w:highlight w:val="none"/>
        </w:rPr>
      </w:pPr>
    </w:p>
    <w:p>
      <w:pPr>
        <w:jc w:val="center"/>
        <w:rPr>
          <w:rFonts w:eastAsia="黑体"/>
          <w:color w:val="auto"/>
          <w:sz w:val="20"/>
          <w:szCs w:val="20"/>
          <w:highlight w:val="none"/>
        </w:rPr>
      </w:pPr>
    </w:p>
    <w:p>
      <w:pPr>
        <w:jc w:val="center"/>
        <w:rPr>
          <w:rFonts w:eastAsia="黑体"/>
          <w:color w:val="auto"/>
          <w:sz w:val="20"/>
          <w:szCs w:val="20"/>
          <w:highlight w:val="none"/>
        </w:rPr>
      </w:pPr>
    </w:p>
    <w:p>
      <w:pPr>
        <w:rPr>
          <w:rFonts w:eastAsia="黑体"/>
          <w:color w:val="auto"/>
          <w:sz w:val="20"/>
          <w:szCs w:val="20"/>
          <w:highlight w:val="none"/>
        </w:rPr>
      </w:pPr>
    </w:p>
    <w:p>
      <w:pPr>
        <w:jc w:val="center"/>
        <w:rPr>
          <w:rFonts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一</w:t>
      </w:r>
    </w:p>
    <w:p>
      <w:pPr>
        <w:jc w:val="center"/>
        <w:rPr>
          <w:rFonts w:eastAsia="黑体"/>
          <w:color w:val="auto"/>
          <w:sz w:val="44"/>
          <w:szCs w:val="44"/>
          <w:highlight w:val="none"/>
        </w:rPr>
      </w:pPr>
      <w:r>
        <w:rPr>
          <w:rFonts w:hint="eastAsia" w:eastAsia="黑体"/>
          <w:color w:val="auto"/>
          <w:sz w:val="44"/>
          <w:szCs w:val="44"/>
          <w:highlight w:val="none"/>
        </w:rPr>
        <w:t>（资信证明文件）</w:t>
      </w: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pStyle w:val="2"/>
        <w:ind w:firstLine="420"/>
        <w:rPr>
          <w:rFonts w:ascii="Times New Roman"/>
          <w:color w:val="auto"/>
          <w:szCs w:val="24"/>
          <w:highlight w:val="none"/>
        </w:rPr>
      </w:pPr>
    </w:p>
    <w:p>
      <w:pPr>
        <w:rPr>
          <w:rFonts w:ascii="Times New Roman"/>
          <w:color w:val="auto"/>
          <w:szCs w:val="24"/>
          <w:highlight w:val="none"/>
        </w:rPr>
      </w:pPr>
    </w:p>
    <w:p>
      <w:pPr>
        <w:pStyle w:val="2"/>
        <w:rPr>
          <w:rFonts w:ascii="Times New Roman"/>
          <w:color w:val="auto"/>
          <w:szCs w:val="24"/>
          <w:highlight w:val="none"/>
        </w:rPr>
      </w:pPr>
    </w:p>
    <w:p>
      <w:pPr>
        <w:rPr>
          <w:rFonts w:ascii="Times New Roman"/>
          <w:color w:val="auto"/>
          <w:szCs w:val="24"/>
          <w:highlight w:val="none"/>
        </w:rPr>
      </w:pPr>
    </w:p>
    <w:p>
      <w:pPr>
        <w:pStyle w:val="2"/>
        <w:rPr>
          <w:color w:val="auto"/>
          <w:highlight w:val="none"/>
        </w:rPr>
      </w:pPr>
    </w:p>
    <w:p>
      <w:pPr>
        <w:pStyle w:val="2"/>
        <w:ind w:firstLine="420"/>
        <w:rPr>
          <w:color w:val="auto"/>
          <w:highlight w:val="none"/>
        </w:rPr>
      </w:pPr>
    </w:p>
    <w:p>
      <w:pPr>
        <w:rPr>
          <w:rFonts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u w:val="single"/>
        </w:rPr>
      </w:pPr>
      <w:r>
        <w:rPr>
          <w:rFonts w:hint="eastAsia" w:eastAsia="黑体"/>
          <w:color w:val="auto"/>
          <w:sz w:val="28"/>
          <w:szCs w:val="28"/>
          <w:highlight w:val="none"/>
        </w:rPr>
        <w:t xml:space="preserve"> 投标人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w:t>
      </w:r>
      <w:r>
        <w:rPr>
          <w:rFonts w:eastAsia="黑体"/>
          <w:color w:val="auto"/>
          <w:sz w:val="28"/>
          <w:szCs w:val="28"/>
          <w:highlight w:val="none"/>
        </w:rPr>
        <w:t>章）</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rPr>
      </w:pPr>
      <w:r>
        <w:rPr>
          <w:rFonts w:hint="eastAsia" w:eastAsia="黑体"/>
          <w:color w:val="auto"/>
          <w:sz w:val="28"/>
          <w:szCs w:val="28"/>
          <w:highlight w:val="none"/>
        </w:rPr>
        <w:t xml:space="preserve">   </w:t>
      </w:r>
      <w:r>
        <w:rPr>
          <w:rFonts w:eastAsia="黑体"/>
          <w:color w:val="auto"/>
          <w:sz w:val="28"/>
          <w:szCs w:val="28"/>
          <w:highlight w:val="none"/>
        </w:rPr>
        <w:t>法定代表人</w:t>
      </w:r>
      <w:r>
        <w:rPr>
          <w:rFonts w:hint="eastAsia" w:eastAsia="黑体"/>
          <w:color w:val="auto"/>
          <w:sz w:val="28"/>
          <w:szCs w:val="28"/>
          <w:highlight w:val="none"/>
          <w:lang w:val="en-US" w:eastAsia="zh-CN"/>
        </w:rPr>
        <w:t>或授权委托人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年</w:t>
      </w:r>
      <w:r>
        <w:rPr>
          <w:rFonts w:hint="eastAsia" w:eastAsia="黑体"/>
          <w:color w:val="auto"/>
          <w:sz w:val="28"/>
          <w:szCs w:val="28"/>
          <w:highlight w:val="none"/>
          <w:u w:val="single"/>
        </w:rPr>
        <w:t xml:space="preserve">     </w:t>
      </w:r>
      <w:r>
        <w:rPr>
          <w:rFonts w:eastAsia="黑体"/>
          <w:color w:val="auto"/>
          <w:sz w:val="28"/>
          <w:szCs w:val="28"/>
          <w:highlight w:val="none"/>
        </w:rPr>
        <w:t>月</w:t>
      </w:r>
      <w:r>
        <w:rPr>
          <w:rFonts w:hint="eastAsia" w:eastAsia="黑体"/>
          <w:color w:val="auto"/>
          <w:sz w:val="28"/>
          <w:szCs w:val="28"/>
          <w:highlight w:val="none"/>
          <w:u w:val="single"/>
        </w:rPr>
        <w:t xml:space="preserve">     </w:t>
      </w:r>
      <w:r>
        <w:rPr>
          <w:rFonts w:eastAsia="黑体"/>
          <w:color w:val="auto"/>
          <w:sz w:val="28"/>
          <w:szCs w:val="28"/>
          <w:highlight w:val="none"/>
        </w:rPr>
        <w:t>日</w:t>
      </w:r>
    </w:p>
    <w:p>
      <w:pPr>
        <w:rPr>
          <w:color w:val="auto"/>
          <w:highlight w:val="none"/>
        </w:rPr>
      </w:pPr>
      <w:bookmarkStart w:id="900" w:name="_Toc12683"/>
      <w:bookmarkStart w:id="901" w:name="_Toc35425137"/>
      <w:bookmarkStart w:id="902" w:name="_Toc35424971"/>
    </w:p>
    <w:p>
      <w:pPr>
        <w:spacing w:beforeLines="50" w:afterLines="50" w:line="440" w:lineRule="exact"/>
        <w:ind w:firstLine="643" w:firstLineChars="200"/>
        <w:jc w:val="left"/>
        <w:rPr>
          <w:rFonts w:ascii="宋体" w:hAnsi="宋体" w:cs="宋体"/>
          <w:b/>
          <w:color w:val="auto"/>
          <w:sz w:val="28"/>
          <w:szCs w:val="28"/>
          <w:highlight w:val="none"/>
        </w:rPr>
      </w:pPr>
      <w:bookmarkStart w:id="903" w:name="_Toc78803399"/>
      <w:r>
        <w:rPr>
          <w:rStyle w:val="121"/>
          <w:rFonts w:hint="eastAsia" w:ascii="宋体" w:hAnsi="宋体" w:cs="宋体"/>
          <w:color w:val="auto"/>
          <w:sz w:val="32"/>
          <w:highlight w:val="none"/>
        </w:rPr>
        <w:br w:type="page"/>
      </w:r>
      <w:r>
        <w:rPr>
          <w:rStyle w:val="121"/>
          <w:rFonts w:hint="eastAsia" w:ascii="宋体" w:hAnsi="宋体" w:cs="宋体"/>
          <w:color w:val="auto"/>
          <w:sz w:val="32"/>
          <w:highlight w:val="none"/>
        </w:rPr>
        <w:t>投标文件一</w:t>
      </w:r>
      <w:bookmarkEnd w:id="900"/>
      <w:bookmarkEnd w:id="901"/>
      <w:bookmarkEnd w:id="902"/>
      <w:bookmarkEnd w:id="903"/>
      <w:r>
        <w:rPr>
          <w:rFonts w:hint="eastAsia" w:ascii="宋体" w:hAnsi="宋体" w:cs="宋体"/>
          <w:b/>
          <w:color w:val="auto"/>
          <w:sz w:val="28"/>
          <w:szCs w:val="28"/>
          <w:highlight w:val="none"/>
        </w:rPr>
        <w:t>：资信证明文件目录</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（2）诚信投标承诺书；</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（3）企业法人营业执照；</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（4）企业资质证书</w:t>
      </w:r>
      <w:r>
        <w:rPr>
          <w:rFonts w:hint="eastAsia" w:ascii="宋体" w:hAnsi="宋体" w:cs="宋体"/>
          <w:color w:val="auto"/>
          <w:szCs w:val="21"/>
          <w:highlight w:val="none"/>
          <w:lang w:val="en-US" w:eastAsia="zh-CN"/>
        </w:rPr>
        <w:t>及</w:t>
      </w:r>
      <w:r>
        <w:rPr>
          <w:rFonts w:hint="eastAsia" w:ascii="宋体" w:hAnsi="宋体" w:cs="宋体"/>
          <w:color w:val="auto"/>
          <w:szCs w:val="21"/>
          <w:highlight w:val="none"/>
        </w:rPr>
        <w:t>企业安全生产许可证；</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（5）项目经理（建造师）有效身份证、注册证书以及安全生产考核合格证书（B证）；</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r>
        <w:rPr>
          <w:rFonts w:hint="eastAsia" w:ascii="宋体" w:hAnsi="宋体" w:cs="宋体"/>
          <w:color w:val="auto"/>
          <w:szCs w:val="21"/>
          <w:highlight w:val="none"/>
          <w:lang w:eastAsia="zh-CN"/>
        </w:rPr>
        <w:t>；</w:t>
      </w:r>
    </w:p>
    <w:p>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lang w:eastAsia="zh-CN"/>
        </w:rPr>
        <w:t>）</w:t>
      </w:r>
      <w:r>
        <w:rPr>
          <w:rFonts w:hint="eastAsia" w:ascii="宋体" w:hAnsi="宋体" w:cs="宋体"/>
          <w:color w:val="auto"/>
          <w:szCs w:val="21"/>
          <w:highlight w:val="none"/>
        </w:rPr>
        <w:t>需要提供的所有证明材料</w:t>
      </w:r>
      <w:r>
        <w:rPr>
          <w:rFonts w:hint="eastAsia" w:ascii="宋体" w:hAnsi="宋体" w:cs="宋体"/>
          <w:color w:val="auto"/>
          <w:szCs w:val="21"/>
          <w:highlight w:val="none"/>
          <w:lang w:eastAsia="zh-CN"/>
        </w:rPr>
        <w:t>。</w:t>
      </w:r>
    </w:p>
    <w:p>
      <w:pPr>
        <w:spacing w:line="360" w:lineRule="auto"/>
        <w:jc w:val="center"/>
        <w:rPr>
          <w:rFonts w:ascii="宋体"/>
          <w:b/>
          <w:color w:val="auto"/>
          <w:sz w:val="28"/>
          <w:szCs w:val="28"/>
          <w:highlight w:val="none"/>
        </w:rPr>
      </w:pPr>
      <w:r>
        <w:rPr>
          <w:rFonts w:hint="eastAsia"/>
          <w:b/>
          <w:color w:val="auto"/>
          <w:sz w:val="28"/>
          <w:szCs w:val="28"/>
          <w:highlight w:val="none"/>
        </w:rPr>
        <w:br w:type="page"/>
      </w:r>
      <w:r>
        <w:rPr>
          <w:rFonts w:hint="eastAsia"/>
          <w:b/>
          <w:color w:val="auto"/>
          <w:sz w:val="28"/>
          <w:szCs w:val="28"/>
          <w:highlight w:val="none"/>
        </w:rPr>
        <w:t>（1）法定代表人身份证明或授权委托书</w:t>
      </w:r>
    </w:p>
    <w:p>
      <w:pPr>
        <w:pStyle w:val="75"/>
        <w:keepNext w:val="0"/>
        <w:keepLines w:val="0"/>
        <w:pageBreakBefore w:val="0"/>
        <w:kinsoku/>
        <w:wordWrap/>
        <w:overflowPunct/>
        <w:topLinePunct w:val="0"/>
        <w:autoSpaceDE/>
        <w:autoSpaceDN/>
        <w:bidi w:val="0"/>
        <w:adjustRightInd/>
        <w:snapToGrid/>
        <w:spacing w:beforeLines="100" w:afterLines="100" w:line="440" w:lineRule="exact"/>
        <w:rPr>
          <w:rFonts w:ascii="宋体"/>
          <w:b/>
          <w:color w:val="auto"/>
          <w:sz w:val="24"/>
          <w:szCs w:val="24"/>
          <w:highlight w:val="none"/>
        </w:rPr>
      </w:pPr>
      <w:bookmarkStart w:id="904" w:name="_Toc503196197"/>
      <w:bookmarkStart w:id="905" w:name="_Toc26598"/>
      <w:bookmarkStart w:id="906" w:name="_Toc506107356"/>
      <w:r>
        <w:rPr>
          <w:rFonts w:hint="eastAsia" w:ascii="宋体"/>
          <w:color w:val="auto"/>
          <w:sz w:val="24"/>
          <w:szCs w:val="24"/>
          <w:highlight w:val="none"/>
        </w:rPr>
        <w:t>1、法定代表人身份证明</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单位性质：</w:t>
      </w:r>
      <w:r>
        <w:rPr>
          <w:rFonts w:hint="eastAsia" w:ascii="宋体"/>
          <w:color w:val="auto"/>
          <w:sz w:val="24"/>
          <w:highlight w:val="none"/>
          <w:u w:val="single"/>
        </w:rPr>
        <w:t xml:space="preserve">                              </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p>
    <w:p>
      <w:pPr>
        <w:keepNext w:val="0"/>
        <w:keepLines w:val="0"/>
        <w:pageBreakBefore w:val="0"/>
        <w:kinsoku/>
        <w:wordWrap/>
        <w:overflowPunct/>
        <w:topLinePunct w:val="0"/>
        <w:autoSpaceDE/>
        <w:autoSpaceDN/>
        <w:bidi w:val="0"/>
        <w:adjustRightInd/>
        <w:snapToGrid/>
        <w:spacing w:line="440" w:lineRule="exact"/>
        <w:jc w:val="left"/>
        <w:rPr>
          <w:rFonts w:ascii="宋体"/>
          <w:color w:val="auto"/>
          <w:sz w:val="24"/>
          <w:highlight w:val="none"/>
          <w:u w:val="singl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身份证号码：</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，系</w:t>
      </w:r>
      <w:r>
        <w:rPr>
          <w:rFonts w:hint="eastAsia" w:ascii="宋体"/>
          <w:color w:val="auto"/>
          <w:sz w:val="24"/>
          <w:highlight w:val="none"/>
          <w:u w:val="single"/>
        </w:rPr>
        <w:t xml:space="preserve">     （投标人名称）</w:t>
      </w:r>
      <w:r>
        <w:rPr>
          <w:rFonts w:hint="eastAsia" w:ascii="宋体"/>
          <w:color w:val="auto"/>
          <w:sz w:val="24"/>
          <w:highlight w:val="none"/>
        </w:rPr>
        <w:t>的法定代表人。</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特此证明。</w:t>
      </w:r>
    </w:p>
    <w:p>
      <w:pPr>
        <w:keepNext w:val="0"/>
        <w:keepLines w:val="0"/>
        <w:pageBreakBefore w:val="0"/>
        <w:kinsoku/>
        <w:wordWrap/>
        <w:overflowPunct/>
        <w:topLinePunct w:val="0"/>
        <w:autoSpaceDE/>
        <w:autoSpaceDN/>
        <w:bidi w:val="0"/>
        <w:adjustRightInd/>
        <w:snapToGrid/>
        <w:spacing w:line="440" w:lineRule="exact"/>
        <w:ind w:firstLine="480" w:firstLineChars="200"/>
        <w:rPr>
          <w:color w:val="auto"/>
          <w:highlight w:val="none"/>
        </w:rPr>
      </w:pPr>
      <w:r>
        <w:rPr>
          <w:rFonts w:hint="eastAsia" w:ascii="宋体"/>
          <w:color w:val="auto"/>
          <w:sz w:val="24"/>
          <w:highlight w:val="none"/>
        </w:rPr>
        <w:t>附：</w:t>
      </w:r>
      <w:r>
        <w:rPr>
          <w:rFonts w:hint="eastAsia" w:ascii="宋体"/>
          <w:b/>
          <w:color w:val="auto"/>
          <w:sz w:val="24"/>
          <w:highlight w:val="none"/>
        </w:rPr>
        <w:t>法定代表人有效身份证扫描件</w:t>
      </w:r>
    </w:p>
    <w:p>
      <w:pPr>
        <w:keepNext w:val="0"/>
        <w:keepLines w:val="0"/>
        <w:pageBreakBefore w:val="0"/>
        <w:kinsoku/>
        <w:wordWrap/>
        <w:overflowPunct/>
        <w:topLinePunct w:val="0"/>
        <w:autoSpaceDE/>
        <w:autoSpaceDN/>
        <w:bidi w:val="0"/>
        <w:adjustRightInd/>
        <w:snapToGrid/>
        <w:spacing w:line="440" w:lineRule="exact"/>
        <w:ind w:firstLine="3720" w:firstLineChars="1550"/>
        <w:rPr>
          <w:rFonts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盖</w:t>
      </w:r>
      <w:r>
        <w:rPr>
          <w:rFonts w:hint="eastAsia" w:ascii="宋体"/>
          <w:color w:val="auto"/>
          <w:sz w:val="24"/>
          <w:highlight w:val="none"/>
          <w:u w:val="single"/>
        </w:rPr>
        <w:t>章）</w:t>
      </w:r>
    </w:p>
    <w:p>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 xml:space="preserve">                                        年    月     日</w:t>
      </w:r>
    </w:p>
    <w:p>
      <w:pPr>
        <w:keepNext w:val="0"/>
        <w:keepLines w:val="0"/>
        <w:pageBreakBefore w:val="0"/>
        <w:kinsoku/>
        <w:wordWrap/>
        <w:overflowPunct/>
        <w:topLinePunct w:val="0"/>
        <w:autoSpaceDE/>
        <w:autoSpaceDN/>
        <w:bidi w:val="0"/>
        <w:adjustRightInd/>
        <w:snapToGrid/>
        <w:spacing w:line="440" w:lineRule="exact"/>
        <w:rPr>
          <w:color w:val="auto"/>
          <w:highlight w:val="none"/>
        </w:rPr>
      </w:pPr>
    </w:p>
    <w:p>
      <w:pPr>
        <w:pStyle w:val="75"/>
        <w:keepNext w:val="0"/>
        <w:keepLines w:val="0"/>
        <w:pageBreakBefore w:val="0"/>
        <w:kinsoku/>
        <w:wordWrap/>
        <w:overflowPunct/>
        <w:topLinePunct w:val="0"/>
        <w:autoSpaceDE/>
        <w:autoSpaceDN/>
        <w:bidi w:val="0"/>
        <w:adjustRightInd/>
        <w:snapToGrid/>
        <w:spacing w:beforeLines="100" w:afterLines="100" w:line="440" w:lineRule="exact"/>
        <w:rPr>
          <w:rFonts w:ascii="宋体"/>
          <w:color w:val="auto"/>
          <w:sz w:val="24"/>
          <w:szCs w:val="24"/>
          <w:highlight w:val="none"/>
        </w:rPr>
      </w:pPr>
      <w:r>
        <w:rPr>
          <w:rFonts w:hint="eastAsia" w:ascii="宋体"/>
          <w:color w:val="auto"/>
          <w:sz w:val="24"/>
          <w:szCs w:val="24"/>
          <w:highlight w:val="none"/>
        </w:rPr>
        <w:t>或1、授权委托书</w:t>
      </w:r>
    </w:p>
    <w:p>
      <w:pPr>
        <w:keepNext w:val="0"/>
        <w:keepLines w:val="0"/>
        <w:pageBreakBefore w:val="0"/>
        <w:kinsoku/>
        <w:wordWrap/>
        <w:overflowPunct/>
        <w:topLinePunct w:val="0"/>
        <w:autoSpaceDE/>
        <w:autoSpaceDN/>
        <w:bidi w:val="0"/>
        <w:adjustRightInd/>
        <w:snapToGrid/>
        <w:spacing w:line="440" w:lineRule="exact"/>
        <w:ind w:firstLine="480" w:firstLineChars="200"/>
        <w:jc w:val="left"/>
        <w:rPr>
          <w:rFonts w:ascii="宋体"/>
          <w:color w:val="auto"/>
          <w:sz w:val="24"/>
          <w:highlight w:val="none"/>
        </w:rPr>
      </w:pPr>
      <w:r>
        <w:rPr>
          <w:rFonts w:hint="eastAsia" w:ascii="宋体"/>
          <w:color w:val="auto"/>
          <w:sz w:val="24"/>
          <w:highlight w:val="none"/>
        </w:rPr>
        <w:t>本人</w:t>
      </w:r>
      <w:r>
        <w:rPr>
          <w:rFonts w:hint="eastAsia" w:ascii="宋体"/>
          <w:color w:val="auto"/>
          <w:sz w:val="24"/>
          <w:highlight w:val="none"/>
          <w:u w:val="single"/>
        </w:rPr>
        <w:t xml:space="preserve"> （姓名）</w:t>
      </w:r>
      <w:r>
        <w:rPr>
          <w:rFonts w:hint="eastAsia" w:ascii="宋体"/>
          <w:color w:val="auto"/>
          <w:sz w:val="24"/>
          <w:highlight w:val="none"/>
        </w:rPr>
        <w:t>系</w:t>
      </w:r>
      <w:r>
        <w:rPr>
          <w:rFonts w:hint="eastAsia" w:ascii="宋体"/>
          <w:color w:val="auto"/>
          <w:sz w:val="24"/>
          <w:highlight w:val="none"/>
          <w:u w:val="single"/>
        </w:rPr>
        <w:t>（投标人）</w:t>
      </w:r>
      <w:r>
        <w:rPr>
          <w:rFonts w:hint="eastAsia" w:ascii="宋体"/>
          <w:color w:val="auto"/>
          <w:sz w:val="24"/>
          <w:highlight w:val="none"/>
        </w:rPr>
        <w:t>的法定代表人，现委托</w:t>
      </w:r>
      <w:r>
        <w:rPr>
          <w:rFonts w:hint="eastAsia" w:ascii="宋体"/>
          <w:color w:val="auto"/>
          <w:sz w:val="24"/>
          <w:highlight w:val="none"/>
          <w:u w:val="single"/>
        </w:rPr>
        <w:t>（姓名）</w:t>
      </w:r>
      <w:r>
        <w:rPr>
          <w:rFonts w:hint="eastAsia" w:ascii="宋体"/>
          <w:color w:val="auto"/>
          <w:sz w:val="24"/>
          <w:highlight w:val="none"/>
        </w:rPr>
        <w:t>为我方代理人。代理人根据授权，以我方名义签署、澄清、说明、补正、递交、撤回、修改</w:t>
      </w:r>
      <w:r>
        <w:rPr>
          <w:rFonts w:hint="eastAsia" w:ascii="宋体"/>
          <w:color w:val="auto"/>
          <w:sz w:val="24"/>
          <w:highlight w:val="none"/>
          <w:u w:val="single"/>
        </w:rPr>
        <w:t xml:space="preserve"> “   ”(项目名称）</w:t>
      </w:r>
      <w:r>
        <w:rPr>
          <w:rFonts w:hint="eastAsia" w:ascii="宋体"/>
          <w:color w:val="auto"/>
          <w:sz w:val="24"/>
          <w:highlight w:val="none"/>
        </w:rPr>
        <w:t>投标文件，全权处理与该项目投标、评审答疑、签订合同以及与合同执行有关的一切事务，其法律后果由我方承担。</w:t>
      </w:r>
    </w:p>
    <w:p>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color w:val="auto"/>
          <w:sz w:val="24"/>
          <w:highlight w:val="none"/>
        </w:rPr>
      </w:pPr>
      <w:r>
        <w:rPr>
          <w:rFonts w:hint="eastAsia" w:ascii="宋体"/>
          <w:color w:val="auto"/>
          <w:sz w:val="24"/>
          <w:highlight w:val="none"/>
        </w:rPr>
        <w:t>委托期限：</w:t>
      </w:r>
      <w:r>
        <w:rPr>
          <w:rFonts w:hint="eastAsia" w:ascii="宋体"/>
          <w:color w:val="auto"/>
          <w:sz w:val="24"/>
          <w:highlight w:val="none"/>
          <w:u w:val="single"/>
          <w:lang w:val="en-US" w:eastAsia="zh-CN"/>
        </w:rPr>
        <w:t xml:space="preserve">              </w:t>
      </w:r>
      <w:r>
        <w:rPr>
          <w:rFonts w:hint="eastAsia" w:ascii="宋体" w:cs="宋体"/>
          <w:color w:val="auto"/>
          <w:sz w:val="24"/>
          <w:highlight w:val="none"/>
        </w:rPr>
        <w:t>。</w:t>
      </w:r>
    </w:p>
    <w:p>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color w:val="auto"/>
          <w:sz w:val="24"/>
          <w:highlight w:val="none"/>
        </w:rPr>
      </w:pPr>
      <w:r>
        <w:rPr>
          <w:rFonts w:hint="eastAsia" w:ascii="宋体"/>
          <w:color w:val="auto"/>
          <w:sz w:val="24"/>
          <w:highlight w:val="none"/>
        </w:rPr>
        <w:t>代理人无转委托权。</w:t>
      </w:r>
    </w:p>
    <w:p>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b/>
          <w:color w:val="auto"/>
          <w:sz w:val="24"/>
          <w:highlight w:val="none"/>
        </w:rPr>
      </w:pPr>
      <w:r>
        <w:rPr>
          <w:rFonts w:hint="eastAsia" w:ascii="宋体"/>
          <w:color w:val="auto"/>
          <w:sz w:val="24"/>
          <w:highlight w:val="none"/>
        </w:rPr>
        <w:t>附：</w:t>
      </w:r>
      <w:r>
        <w:rPr>
          <w:rFonts w:hint="eastAsia" w:ascii="宋体"/>
          <w:b/>
          <w:color w:val="auto"/>
          <w:sz w:val="24"/>
          <w:highlight w:val="none"/>
        </w:rPr>
        <w:t>委托代理人有效身份证扫描件</w:t>
      </w:r>
    </w:p>
    <w:p>
      <w:pPr>
        <w:keepNext w:val="0"/>
        <w:keepLines w:val="0"/>
        <w:pageBreakBefore w:val="0"/>
        <w:kinsoku/>
        <w:wordWrap/>
        <w:overflowPunct/>
        <w:topLinePunct w:val="0"/>
        <w:autoSpaceDE/>
        <w:autoSpaceDN/>
        <w:bidi w:val="0"/>
        <w:adjustRightInd/>
        <w:snapToGrid/>
        <w:spacing w:line="440" w:lineRule="exact"/>
        <w:ind w:firstLine="964" w:firstLineChars="400"/>
        <w:rPr>
          <w:rFonts w:ascii="宋体"/>
          <w:b/>
          <w:color w:val="auto"/>
          <w:sz w:val="24"/>
          <w:highlight w:val="none"/>
        </w:rPr>
      </w:pPr>
      <w:r>
        <w:rPr>
          <w:rFonts w:hint="eastAsia" w:ascii="宋体"/>
          <w:b/>
          <w:color w:val="auto"/>
          <w:sz w:val="24"/>
          <w:highlight w:val="none"/>
        </w:rPr>
        <w:t>法定代表人有效身份证扫描件</w:t>
      </w:r>
    </w:p>
    <w:p>
      <w:pPr>
        <w:keepNext w:val="0"/>
        <w:keepLines w:val="0"/>
        <w:pageBreakBefore w:val="0"/>
        <w:kinsoku/>
        <w:wordWrap/>
        <w:overflowPunct/>
        <w:topLinePunct w:val="0"/>
        <w:autoSpaceDE/>
        <w:autoSpaceDN/>
        <w:bidi w:val="0"/>
        <w:adjustRightInd/>
        <w:snapToGrid/>
        <w:spacing w:line="440" w:lineRule="exact"/>
        <w:ind w:firstLine="833" w:firstLineChars="397"/>
        <w:rPr>
          <w:color w:val="auto"/>
          <w:highlight w:val="none"/>
        </w:rPr>
      </w:pPr>
    </w:p>
    <w:p>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 xml:space="preserve"> 投标人（盖章）：</w:t>
      </w:r>
    </w:p>
    <w:p>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法定代表人（身份证号码）：    （签字或盖章）</w:t>
      </w:r>
    </w:p>
    <w:p>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委托代理人（身份证号码）：    （签字或盖章）</w:t>
      </w:r>
    </w:p>
    <w:p>
      <w:pPr>
        <w:keepNext w:val="0"/>
        <w:keepLines w:val="0"/>
        <w:pageBreakBefore w:val="0"/>
        <w:kinsoku/>
        <w:wordWrap/>
        <w:overflowPunct/>
        <w:topLinePunct w:val="0"/>
        <w:autoSpaceDE/>
        <w:autoSpaceDN/>
        <w:bidi w:val="0"/>
        <w:adjustRightInd/>
        <w:snapToGrid/>
        <w:spacing w:line="440" w:lineRule="exact"/>
        <w:ind w:firstLine="5040" w:firstLineChars="2100"/>
        <w:rPr>
          <w:rFonts w:ascii="宋体"/>
          <w:color w:val="auto"/>
          <w:sz w:val="24"/>
          <w:highlight w:val="none"/>
        </w:rPr>
      </w:pPr>
      <w:r>
        <w:rPr>
          <w:rFonts w:hint="eastAsia" w:ascii="宋体"/>
          <w:color w:val="auto"/>
          <w:sz w:val="24"/>
          <w:highlight w:val="none"/>
        </w:rPr>
        <w:t xml:space="preserve">   </w:t>
      </w:r>
    </w:p>
    <w:p>
      <w:pPr>
        <w:keepNext w:val="0"/>
        <w:keepLines w:val="0"/>
        <w:pageBreakBefore w:val="0"/>
        <w:kinsoku/>
        <w:wordWrap/>
        <w:overflowPunct/>
        <w:topLinePunct w:val="0"/>
        <w:autoSpaceDE/>
        <w:autoSpaceDN/>
        <w:bidi w:val="0"/>
        <w:adjustRightInd/>
        <w:snapToGrid/>
        <w:spacing w:line="440" w:lineRule="exact"/>
        <w:ind w:firstLine="5700" w:firstLineChars="2375"/>
        <w:rPr>
          <w:rFonts w:ascii="宋体"/>
          <w:color w:val="auto"/>
          <w:sz w:val="24"/>
          <w:highlight w:val="none"/>
        </w:rPr>
      </w:pPr>
      <w:r>
        <w:rPr>
          <w:rFonts w:hint="eastAsia" w:ascii="宋体"/>
          <w:color w:val="auto"/>
          <w:sz w:val="24"/>
          <w:highlight w:val="none"/>
        </w:rPr>
        <w:t>年    月    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b/>
          <w:color w:val="auto"/>
          <w:sz w:val="28"/>
          <w:szCs w:val="28"/>
          <w:highlight w:val="none"/>
        </w:rPr>
      </w:pPr>
      <w:r>
        <w:rPr>
          <w:rFonts w:hint="eastAsia"/>
          <w:b/>
          <w:color w:val="auto"/>
          <w:sz w:val="28"/>
          <w:szCs w:val="28"/>
          <w:highlight w:val="none"/>
        </w:rPr>
        <w:t>（2）诚信投标承诺书</w:t>
      </w:r>
      <w:bookmarkEnd w:id="904"/>
      <w:bookmarkEnd w:id="905"/>
      <w:bookmarkEnd w:id="906"/>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olor w:val="auto"/>
          <w:szCs w:val="21"/>
          <w:highlight w:val="none"/>
        </w:rPr>
      </w:pPr>
      <w:r>
        <w:rPr>
          <w:rFonts w:hint="eastAsia" w:ascii="宋体" w:hAnsi="宋体"/>
          <w:color w:val="auto"/>
          <w:szCs w:val="21"/>
          <w:highlight w:val="none"/>
        </w:rPr>
        <w:t>本人以企业法定代表人的身份郑重承诺：</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项目的投标；</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二、所提供的一切材料都是真实、有效、合法的；</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六、</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（企业名称）或</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（企业名称）法定代表人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或拟派项目经理（负责人）      没有下列情形：</w:t>
      </w:r>
      <w:bookmarkStart w:id="907" w:name="OLE_LINK133"/>
      <w:bookmarkStart w:id="908" w:name="OLE_LINK134"/>
      <w:r>
        <w:rPr>
          <w:rFonts w:hint="eastAsia" w:ascii="宋体" w:hAnsi="宋体" w:eastAsia="宋体" w:cs="Times New Roman"/>
          <w:color w:val="auto"/>
          <w:szCs w:val="21"/>
          <w:highlight w:val="none"/>
        </w:rPr>
        <w:t>①被列入“信用中国”网站“失信被执行人”的;②被列入“信用中国”网站“重大税收违法失信主体”的；③被列入“信用中国”网站“拖欠农民工工资失信联合惩戒对象名单”的；④被列入“信用中国”网站“严重失信主体名单”的；⑤在“信用中国”网站上披露的仍在公示期的严重失信行为(具体行为类别及判定依据见附件2)的。⑥被列入国家企业信用信息公示系统网站“经营异常名录”或者“严重违法失信名单”的。⑦前三年有行贿犯罪行为的单位和个人；⑧被滁州市县两级公管部门及各行业主管部门取消在一定期限内的投标资格且在取消期限内的；⑨因拖欠农民工工资被县级及以上有关行政主管部门限制投标资格且在限制期限内的；⑩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bookmarkEnd w:id="907"/>
      <w:bookmarkEnd w:id="908"/>
      <w:r>
        <w:rPr>
          <w:rFonts w:hint="eastAsia" w:ascii="宋体" w:hAnsi="宋体" w:eastAsia="宋体" w:cs="Times New Roman"/>
          <w:color w:val="auto"/>
          <w:szCs w:val="21"/>
          <w:highlight w:val="none"/>
        </w:rPr>
        <w:t>若招标文件对投标人所属分公司、办事处等分支机构有上述1-10项信誉要求，在此一并承诺我公司所属分公司、办事处等分支机构没有上述1-10项情形）</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七</w:t>
      </w:r>
      <w:r>
        <w:rPr>
          <w:rFonts w:hint="eastAsia" w:ascii="宋体" w:hAnsi="宋体"/>
          <w:color w:val="auto"/>
          <w:szCs w:val="21"/>
          <w:highlight w:val="none"/>
        </w:rPr>
        <w:t>、保证中标后不转包及使用挂靠施工队伍，若有分包征得建设单位同意；</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八、保证中标之后，按照投标文件承诺派驻管理人员及投入机械设备，如有违反，同意接受建设单位违约处罚；</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九</w:t>
      </w:r>
      <w:r>
        <w:rPr>
          <w:rFonts w:hint="eastAsia" w:ascii="宋体" w:hAnsi="宋体"/>
          <w:color w:val="auto"/>
          <w:szCs w:val="21"/>
          <w:highlight w:val="none"/>
        </w:rPr>
        <w:t>、保证企业及所属相关人员在本次投标中无行贿等犯罪行为；</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十、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十</w:t>
      </w:r>
      <w:r>
        <w:rPr>
          <w:rFonts w:hint="eastAsia" w:ascii="宋体" w:hAnsi="宋体"/>
          <w:color w:val="auto"/>
          <w:szCs w:val="21"/>
          <w:highlight w:val="none"/>
          <w:lang w:val="en-US" w:eastAsia="zh-CN"/>
        </w:rPr>
        <w:t>一</w:t>
      </w:r>
      <w:r>
        <w:rPr>
          <w:rFonts w:hint="eastAsia" w:ascii="宋体" w:hAnsi="宋体"/>
          <w:color w:val="auto"/>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开户银行：                          基本账户：</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投标人（盖章）：              法定代表人（签字或</w:t>
      </w:r>
      <w:r>
        <w:rPr>
          <w:rFonts w:hint="eastAsia" w:ascii="宋体" w:hAnsi="宋体"/>
          <w:color w:val="auto"/>
          <w:szCs w:val="21"/>
          <w:highlight w:val="none"/>
          <w:lang w:val="en-US" w:eastAsia="zh-CN"/>
        </w:rPr>
        <w:t>盖</w:t>
      </w:r>
      <w:r>
        <w:rPr>
          <w:rFonts w:hint="eastAsia" w:ascii="宋体" w:hAnsi="宋体"/>
          <w:color w:val="auto"/>
          <w:szCs w:val="21"/>
          <w:highlight w:val="none"/>
        </w:rPr>
        <w:t>章）：</w:t>
      </w:r>
    </w:p>
    <w:p>
      <w:pPr>
        <w:keepNext w:val="0"/>
        <w:keepLines w:val="0"/>
        <w:pageBreakBefore w:val="0"/>
        <w:widowControl w:val="0"/>
        <w:kinsoku/>
        <w:wordWrap/>
        <w:overflowPunct/>
        <w:topLinePunct w:val="0"/>
        <w:autoSpaceDE/>
        <w:autoSpaceDN/>
        <w:bidi w:val="0"/>
        <w:adjustRightInd/>
        <w:snapToGrid/>
        <w:spacing w:line="380" w:lineRule="exact"/>
        <w:ind w:firstLine="5250" w:firstLineChars="2500"/>
        <w:textAlignment w:val="auto"/>
        <w:rPr>
          <w:color w:val="auto"/>
          <w:highlight w:val="none"/>
        </w:rPr>
      </w:pPr>
      <w:r>
        <w:rPr>
          <w:rFonts w:hint="eastAsia" w:ascii="宋体" w:hAnsi="宋体"/>
          <w:color w:val="auto"/>
          <w:szCs w:val="21"/>
          <w:highlight w:val="none"/>
        </w:rPr>
        <w:t>日期：    年   月   日</w:t>
      </w:r>
    </w:p>
    <w:p>
      <w:pPr>
        <w:rPr>
          <w:rFonts w:eastAsia="黑体"/>
          <w:color w:val="auto"/>
          <w:sz w:val="28"/>
          <w:szCs w:val="28"/>
          <w:highlight w:val="none"/>
          <w:u w:val="single"/>
        </w:rPr>
      </w:pPr>
      <w:r>
        <w:rPr>
          <w:rFonts w:hint="eastAsia" w:ascii="宋体" w:hAnsi="宋体"/>
          <w:b/>
          <w:color w:val="auto"/>
          <w:sz w:val="32"/>
          <w:szCs w:val="32"/>
          <w:highlight w:val="none"/>
        </w:rPr>
        <w:br w:type="page"/>
      </w: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jc w:val="center"/>
        <w:rPr>
          <w:rFonts w:eastAsia="黑体"/>
          <w:color w:val="auto"/>
          <w:sz w:val="20"/>
          <w:szCs w:val="20"/>
          <w:highlight w:val="none"/>
        </w:rPr>
      </w:pPr>
      <w:r>
        <w:rPr>
          <w:rFonts w:eastAsia="黑体"/>
          <w:color w:val="auto"/>
          <w:sz w:val="28"/>
          <w:szCs w:val="28"/>
          <w:highlight w:val="none"/>
        </w:rPr>
        <w:t>（项目名称）</w:t>
      </w:r>
    </w:p>
    <w:p>
      <w:pPr>
        <w:jc w:val="center"/>
        <w:rPr>
          <w:rFonts w:eastAsia="黑体"/>
          <w:color w:val="auto"/>
          <w:sz w:val="20"/>
          <w:szCs w:val="20"/>
          <w:highlight w:val="none"/>
        </w:rPr>
      </w:pPr>
    </w:p>
    <w:p>
      <w:pPr>
        <w:rPr>
          <w:rFonts w:eastAsia="黑体"/>
          <w:color w:val="auto"/>
          <w:sz w:val="20"/>
          <w:szCs w:val="20"/>
          <w:highlight w:val="none"/>
        </w:rPr>
      </w:pPr>
    </w:p>
    <w:p>
      <w:pPr>
        <w:jc w:val="center"/>
        <w:rPr>
          <w:rFonts w:hint="eastAsia" w:eastAsia="黑体"/>
          <w:color w:val="auto"/>
          <w:sz w:val="44"/>
          <w:szCs w:val="44"/>
          <w:highlight w:val="none"/>
          <w:lang w:eastAsia="zh-CN"/>
        </w:rPr>
      </w:pPr>
      <w:r>
        <w:rPr>
          <w:rFonts w:eastAsia="黑体"/>
          <w:color w:val="auto"/>
          <w:sz w:val="44"/>
          <w:szCs w:val="44"/>
          <w:highlight w:val="none"/>
        </w:rPr>
        <w:t>投  标  文  件</w:t>
      </w:r>
      <w:r>
        <w:rPr>
          <w:rFonts w:hint="eastAsia" w:eastAsia="黑体"/>
          <w:color w:val="auto"/>
          <w:sz w:val="44"/>
          <w:szCs w:val="44"/>
          <w:highlight w:val="none"/>
        </w:rPr>
        <w:t xml:space="preserve">  </w:t>
      </w:r>
      <w:r>
        <w:rPr>
          <w:rFonts w:hint="eastAsia" w:eastAsia="黑体"/>
          <w:color w:val="auto"/>
          <w:sz w:val="44"/>
          <w:szCs w:val="44"/>
          <w:highlight w:val="none"/>
          <w:lang w:val="en-US" w:eastAsia="zh-CN"/>
        </w:rPr>
        <w:t>二</w:t>
      </w:r>
    </w:p>
    <w:p>
      <w:pPr>
        <w:jc w:val="center"/>
        <w:rPr>
          <w:rFonts w:eastAsia="黑体"/>
          <w:color w:val="auto"/>
          <w:sz w:val="44"/>
          <w:szCs w:val="44"/>
          <w:highlight w:val="none"/>
        </w:rPr>
      </w:pPr>
      <w:r>
        <w:rPr>
          <w:rFonts w:hint="eastAsia" w:eastAsia="黑体"/>
          <w:color w:val="auto"/>
          <w:sz w:val="44"/>
          <w:szCs w:val="44"/>
          <w:highlight w:val="none"/>
        </w:rPr>
        <w:t>（商务标文件）</w:t>
      </w: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rPr>
          <w:rFonts w:eastAsia="黑体"/>
          <w:color w:val="auto"/>
          <w:sz w:val="28"/>
          <w:szCs w:val="28"/>
          <w:highlight w:val="none"/>
        </w:rPr>
      </w:pPr>
    </w:p>
    <w:p>
      <w:pPr>
        <w:pStyle w:val="2"/>
        <w:rPr>
          <w:rFonts w:eastAsia="黑体"/>
          <w:color w:val="auto"/>
          <w:sz w:val="28"/>
          <w:szCs w:val="28"/>
          <w:highlight w:val="none"/>
        </w:rPr>
      </w:pPr>
    </w:p>
    <w:p>
      <w:pPr>
        <w:rPr>
          <w:rFonts w:eastAsia="黑体"/>
          <w:color w:val="auto"/>
          <w:sz w:val="28"/>
          <w:szCs w:val="28"/>
          <w:highlight w:val="none"/>
        </w:rPr>
      </w:pPr>
    </w:p>
    <w:p>
      <w:pPr>
        <w:pStyle w:val="2"/>
        <w:rPr>
          <w:rFonts w:eastAsia="黑体"/>
          <w:color w:val="auto"/>
          <w:sz w:val="28"/>
          <w:szCs w:val="28"/>
          <w:highlight w:val="none"/>
        </w:rPr>
      </w:pPr>
    </w:p>
    <w:p>
      <w:pPr>
        <w:rPr>
          <w:rFonts w:eastAsia="黑体"/>
          <w:color w:val="auto"/>
          <w:sz w:val="28"/>
          <w:szCs w:val="28"/>
          <w:highlight w:val="none"/>
        </w:rPr>
      </w:pPr>
    </w:p>
    <w:p>
      <w:pPr>
        <w:pStyle w:val="2"/>
        <w:rPr>
          <w:rFonts w:eastAsia="黑体"/>
          <w:color w:val="auto"/>
          <w:sz w:val="28"/>
          <w:szCs w:val="28"/>
          <w:highlight w:val="none"/>
        </w:rPr>
      </w:pPr>
    </w:p>
    <w:p>
      <w:pPr>
        <w:rPr>
          <w:rFonts w:eastAsia="黑体"/>
          <w:color w:val="auto"/>
          <w:sz w:val="28"/>
          <w:szCs w:val="28"/>
          <w:highlight w:val="none"/>
        </w:rPr>
      </w:pPr>
    </w:p>
    <w:p>
      <w:pPr>
        <w:pStyle w:val="2"/>
        <w:rPr>
          <w:color w:val="auto"/>
          <w:highlight w:val="none"/>
        </w:rPr>
      </w:pPr>
    </w:p>
    <w:p>
      <w:pPr>
        <w:rPr>
          <w:rFonts w:eastAsia="黑体"/>
          <w:color w:val="auto"/>
          <w:sz w:val="28"/>
          <w:szCs w:val="28"/>
          <w:highlight w:val="none"/>
        </w:rPr>
      </w:pPr>
    </w:p>
    <w:p>
      <w:pPr>
        <w:rPr>
          <w:rFonts w:eastAsia="黑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u w:val="single"/>
        </w:rPr>
      </w:pPr>
      <w:r>
        <w:rPr>
          <w:rFonts w:hint="eastAsia" w:eastAsia="黑体"/>
          <w:color w:val="auto"/>
          <w:sz w:val="28"/>
          <w:szCs w:val="28"/>
          <w:highlight w:val="none"/>
        </w:rPr>
        <w:t xml:space="preserve"> 投标人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w:t>
      </w:r>
      <w:r>
        <w:rPr>
          <w:rFonts w:eastAsia="黑体"/>
          <w:color w:val="auto"/>
          <w:sz w:val="28"/>
          <w:szCs w:val="28"/>
          <w:highlight w:val="none"/>
        </w:rPr>
        <w:t>章）</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rPr>
      </w:pPr>
      <w:r>
        <w:rPr>
          <w:rFonts w:hint="eastAsia" w:eastAsia="黑体"/>
          <w:color w:val="auto"/>
          <w:sz w:val="28"/>
          <w:szCs w:val="28"/>
          <w:highlight w:val="none"/>
        </w:rPr>
        <w:t xml:space="preserve">   </w:t>
      </w:r>
      <w:r>
        <w:rPr>
          <w:rFonts w:eastAsia="黑体"/>
          <w:color w:val="auto"/>
          <w:sz w:val="28"/>
          <w:szCs w:val="28"/>
          <w:highlight w:val="none"/>
        </w:rPr>
        <w:t>法定代表人</w:t>
      </w:r>
      <w:r>
        <w:rPr>
          <w:rFonts w:hint="eastAsia" w:eastAsia="黑体"/>
          <w:color w:val="auto"/>
          <w:sz w:val="28"/>
          <w:szCs w:val="28"/>
          <w:highlight w:val="none"/>
          <w:lang w:val="en-US" w:eastAsia="zh-CN"/>
        </w:rPr>
        <w:t>或授权委托人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eastAsia="黑体"/>
          <w:color w:val="auto"/>
          <w:sz w:val="28"/>
          <w:szCs w:val="28"/>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年</w:t>
      </w:r>
      <w:r>
        <w:rPr>
          <w:rFonts w:hint="eastAsia" w:eastAsia="黑体"/>
          <w:color w:val="auto"/>
          <w:sz w:val="28"/>
          <w:szCs w:val="28"/>
          <w:highlight w:val="none"/>
          <w:u w:val="single"/>
        </w:rPr>
        <w:t xml:space="preserve">     </w:t>
      </w:r>
      <w:r>
        <w:rPr>
          <w:rFonts w:eastAsia="黑体"/>
          <w:color w:val="auto"/>
          <w:sz w:val="28"/>
          <w:szCs w:val="28"/>
          <w:highlight w:val="none"/>
        </w:rPr>
        <w:t>月</w:t>
      </w:r>
      <w:r>
        <w:rPr>
          <w:rFonts w:hint="eastAsia" w:eastAsia="黑体"/>
          <w:color w:val="auto"/>
          <w:sz w:val="28"/>
          <w:szCs w:val="28"/>
          <w:highlight w:val="none"/>
          <w:u w:val="single"/>
        </w:rPr>
        <w:t xml:space="preserve">     </w:t>
      </w:r>
      <w:r>
        <w:rPr>
          <w:rFonts w:eastAsia="黑体"/>
          <w:color w:val="auto"/>
          <w:sz w:val="28"/>
          <w:szCs w:val="28"/>
          <w:highlight w:val="none"/>
        </w:rPr>
        <w:t>日</w:t>
      </w:r>
    </w:p>
    <w:p>
      <w:pPr>
        <w:rPr>
          <w:color w:val="auto"/>
          <w:highlight w:val="none"/>
        </w:rPr>
      </w:pPr>
    </w:p>
    <w:p>
      <w:pPr>
        <w:pStyle w:val="2"/>
        <w:ind w:firstLine="420"/>
        <w:rPr>
          <w:color w:val="auto"/>
          <w:highlight w:val="none"/>
        </w:rPr>
      </w:pPr>
    </w:p>
    <w:p>
      <w:pPr>
        <w:rPr>
          <w:color w:val="auto"/>
          <w:highlight w:val="none"/>
        </w:rPr>
      </w:pPr>
    </w:p>
    <w:p>
      <w:pPr>
        <w:spacing w:beforeLines="50" w:afterLines="50" w:line="440" w:lineRule="exact"/>
        <w:ind w:firstLine="643" w:firstLineChars="200"/>
        <w:jc w:val="left"/>
        <w:rPr>
          <w:rStyle w:val="121"/>
          <w:rFonts w:ascii="宋体" w:hAnsi="宋体" w:cs="宋体"/>
          <w:color w:val="auto"/>
          <w:sz w:val="32"/>
          <w:highlight w:val="none"/>
        </w:rPr>
      </w:pPr>
      <w:bookmarkStart w:id="909" w:name="_Toc35425139"/>
      <w:bookmarkStart w:id="910" w:name="_Toc19174"/>
      <w:bookmarkStart w:id="911" w:name="_Toc35424973"/>
      <w:bookmarkStart w:id="912" w:name="_Toc78803401"/>
      <w:r>
        <w:rPr>
          <w:rStyle w:val="121"/>
          <w:rFonts w:hint="eastAsia" w:ascii="宋体" w:hAnsi="宋体" w:cs="宋体"/>
          <w:color w:val="auto"/>
          <w:sz w:val="32"/>
          <w:highlight w:val="none"/>
        </w:rPr>
        <w:t>投标文件</w:t>
      </w:r>
      <w:bookmarkEnd w:id="909"/>
      <w:bookmarkEnd w:id="910"/>
      <w:bookmarkEnd w:id="911"/>
      <w:r>
        <w:rPr>
          <w:rStyle w:val="121"/>
          <w:rFonts w:hint="eastAsia" w:ascii="宋体" w:hAnsi="宋体" w:cs="宋体"/>
          <w:color w:val="auto"/>
          <w:sz w:val="32"/>
          <w:highlight w:val="none"/>
          <w:lang w:val="en-US"/>
        </w:rPr>
        <w:t>二</w:t>
      </w:r>
      <w:r>
        <w:rPr>
          <w:rStyle w:val="121"/>
          <w:rFonts w:hint="eastAsia" w:ascii="宋体" w:hAnsi="宋体" w:cs="宋体"/>
          <w:color w:val="auto"/>
          <w:sz w:val="32"/>
          <w:highlight w:val="none"/>
        </w:rPr>
        <w:t>：商务标目录</w:t>
      </w:r>
      <w:bookmarkEnd w:id="912"/>
    </w:p>
    <w:p>
      <w:pPr>
        <w:adjustRightInd w:val="0"/>
        <w:snapToGrid w:val="0"/>
        <w:spacing w:line="5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（1）投标函；</w:t>
      </w:r>
    </w:p>
    <w:p>
      <w:pPr>
        <w:adjustRightInd w:val="0"/>
        <w:snapToGrid w:val="0"/>
        <w:spacing w:line="560" w:lineRule="exact"/>
        <w:ind w:firstLine="420" w:firstLineChars="200"/>
        <w:rPr>
          <w:color w:val="auto"/>
          <w:highlight w:val="none"/>
        </w:rPr>
      </w:pPr>
      <w:r>
        <w:rPr>
          <w:rFonts w:hint="eastAsia" w:ascii="宋体" w:hAnsi="宋体"/>
          <w:color w:val="auto"/>
          <w:szCs w:val="21"/>
          <w:highlight w:val="none"/>
        </w:rPr>
        <w:t>（2）工程量清单报价书；</w:t>
      </w:r>
    </w:p>
    <w:p>
      <w:pPr>
        <w:adjustRightInd w:val="0"/>
        <w:snapToGrid w:val="0"/>
        <w:spacing w:line="5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（3）全国建筑市场监管公共服务平台</w:t>
      </w:r>
      <w:r>
        <w:rPr>
          <w:rFonts w:hint="eastAsia" w:ascii="宋体" w:hAnsi="宋体"/>
          <w:color w:val="auto"/>
          <w:szCs w:val="21"/>
          <w:highlight w:val="none"/>
          <w:lang w:eastAsia="zh-CN"/>
        </w:rPr>
        <w:t>（</w:t>
      </w:r>
      <w:r>
        <w:rPr>
          <w:rFonts w:hint="eastAsia" w:ascii="宋体" w:hAnsi="宋体"/>
          <w:color w:val="auto"/>
          <w:szCs w:val="21"/>
          <w:highlight w:val="none"/>
        </w:rPr>
        <w:t>四库一平台</w:t>
      </w:r>
      <w:r>
        <w:rPr>
          <w:rFonts w:hint="eastAsia" w:ascii="宋体" w:hAnsi="宋体"/>
          <w:color w:val="auto"/>
          <w:szCs w:val="21"/>
          <w:highlight w:val="none"/>
          <w:lang w:eastAsia="zh-CN"/>
        </w:rPr>
        <w:t>）</w:t>
      </w:r>
      <w:r>
        <w:rPr>
          <w:rFonts w:hint="eastAsia" w:ascii="宋体" w:hAnsi="宋体"/>
          <w:color w:val="auto"/>
          <w:szCs w:val="21"/>
          <w:highlight w:val="none"/>
        </w:rPr>
        <w:t>企业注册人员网页截图；</w:t>
      </w:r>
    </w:p>
    <w:p>
      <w:pPr>
        <w:adjustRightInd w:val="0"/>
        <w:snapToGrid w:val="0"/>
        <w:spacing w:line="560" w:lineRule="exact"/>
        <w:ind w:firstLine="420" w:firstLineChars="200"/>
        <w:rPr>
          <w:rFonts w:hint="eastAsia"/>
          <w:color w:val="auto"/>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）详细评审所需其他材料。</w:t>
      </w:r>
    </w:p>
    <w:p>
      <w:pPr>
        <w:spacing w:line="540" w:lineRule="exact"/>
        <w:rPr>
          <w:color w:val="auto"/>
          <w:highlight w:val="none"/>
        </w:rPr>
      </w:pPr>
    </w:p>
    <w:p>
      <w:pPr>
        <w:spacing w:line="540" w:lineRule="exact"/>
        <w:rPr>
          <w:rFonts w:eastAsia="黑体"/>
          <w:color w:val="auto"/>
          <w:sz w:val="20"/>
          <w:szCs w:val="20"/>
          <w:highlight w:val="none"/>
        </w:rPr>
      </w:pPr>
    </w:p>
    <w:p>
      <w:pPr>
        <w:spacing w:line="540" w:lineRule="exact"/>
        <w:rPr>
          <w:rFonts w:eastAsia="黑体"/>
          <w:color w:val="auto"/>
          <w:sz w:val="20"/>
          <w:szCs w:val="20"/>
          <w:highlight w:val="none"/>
        </w:rPr>
      </w:pPr>
    </w:p>
    <w:p>
      <w:pPr>
        <w:spacing w:line="540" w:lineRule="exact"/>
        <w:rPr>
          <w:rFonts w:eastAsia="黑体"/>
          <w:color w:val="auto"/>
          <w:sz w:val="20"/>
          <w:szCs w:val="20"/>
          <w:highlight w:val="non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spacing w:line="360" w:lineRule="auto"/>
        <w:ind w:firstLine="420" w:firstLineChars="200"/>
        <w:jc w:val="right"/>
        <w:rPr>
          <w:color w:val="auto"/>
          <w:szCs w:val="21"/>
          <w:highlight w:val="none"/>
          <w:u w:val="single"/>
        </w:rPr>
      </w:pPr>
    </w:p>
    <w:p>
      <w:pPr>
        <w:jc w:val="center"/>
        <w:rPr>
          <w:b/>
          <w:color w:val="auto"/>
          <w:sz w:val="32"/>
          <w:szCs w:val="32"/>
          <w:highlight w:val="none"/>
        </w:rPr>
      </w:pPr>
    </w:p>
    <w:p>
      <w:pPr>
        <w:jc w:val="center"/>
        <w:rPr>
          <w:b/>
          <w:color w:val="auto"/>
          <w:sz w:val="32"/>
          <w:szCs w:val="32"/>
          <w:highlight w:val="none"/>
        </w:rPr>
      </w:pPr>
    </w:p>
    <w:p>
      <w:pPr>
        <w:jc w:val="center"/>
        <w:rPr>
          <w:b/>
          <w:color w:val="auto"/>
          <w:sz w:val="32"/>
          <w:szCs w:val="32"/>
          <w:highlight w:val="none"/>
        </w:rPr>
      </w:pPr>
    </w:p>
    <w:p>
      <w:pPr>
        <w:jc w:val="center"/>
        <w:rPr>
          <w:b/>
          <w:color w:val="auto"/>
          <w:sz w:val="32"/>
          <w:szCs w:val="32"/>
          <w:highlight w:val="none"/>
        </w:rPr>
      </w:pPr>
    </w:p>
    <w:p>
      <w:pPr>
        <w:jc w:val="center"/>
        <w:rPr>
          <w:b/>
          <w:color w:val="auto"/>
          <w:sz w:val="32"/>
          <w:szCs w:val="32"/>
          <w:highlight w:val="none"/>
        </w:rPr>
      </w:pPr>
    </w:p>
    <w:p>
      <w:pPr>
        <w:jc w:val="center"/>
        <w:rPr>
          <w:b/>
          <w:color w:val="auto"/>
          <w:sz w:val="32"/>
          <w:szCs w:val="32"/>
          <w:highlight w:val="none"/>
        </w:rPr>
      </w:pPr>
    </w:p>
    <w:p>
      <w:pPr>
        <w:jc w:val="center"/>
        <w:rPr>
          <w:b/>
          <w:color w:val="auto"/>
          <w:sz w:val="32"/>
          <w:szCs w:val="32"/>
          <w:highlight w:val="none"/>
        </w:rPr>
      </w:pPr>
    </w:p>
    <w:p>
      <w:pPr>
        <w:spacing w:line="360" w:lineRule="auto"/>
        <w:rPr>
          <w:b/>
          <w:bCs/>
          <w:color w:val="auto"/>
          <w:sz w:val="32"/>
          <w:szCs w:val="32"/>
          <w:highlight w:val="none"/>
        </w:rPr>
      </w:pPr>
    </w:p>
    <w:p>
      <w:pPr>
        <w:jc w:val="center"/>
        <w:rPr>
          <w:rFonts w:ascii="宋体" w:hAnsi="宋体"/>
          <w:b/>
          <w:color w:val="auto"/>
          <w:sz w:val="32"/>
          <w:szCs w:val="32"/>
          <w:highlight w:val="none"/>
        </w:rPr>
      </w:pPr>
      <w:r>
        <w:rPr>
          <w:rFonts w:hint="eastAsia" w:ascii="宋体" w:hAnsi="宋体"/>
          <w:b/>
          <w:color w:val="auto"/>
          <w:sz w:val="32"/>
          <w:szCs w:val="32"/>
          <w:highlight w:val="none"/>
        </w:rPr>
        <w:br w:type="page"/>
      </w:r>
      <w:r>
        <w:rPr>
          <w:rFonts w:hint="eastAsia" w:ascii="宋体" w:hAnsi="宋体"/>
          <w:b/>
          <w:color w:val="auto"/>
          <w:sz w:val="32"/>
          <w:szCs w:val="32"/>
          <w:highlight w:val="none"/>
        </w:rPr>
        <w:t>（1）投 标 函</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highlight w:val="none"/>
        </w:rPr>
      </w:pPr>
      <w:bookmarkStart w:id="913" w:name="_Toc35424974"/>
      <w:bookmarkStart w:id="914" w:name="_Toc15058950"/>
      <w:bookmarkStart w:id="915" w:name="_Toc506107366"/>
      <w:bookmarkStart w:id="916" w:name="_Toc35425140"/>
      <w:r>
        <w:rPr>
          <w:rFonts w:hint="eastAsia" w:ascii="宋体" w:hAnsi="宋体" w:eastAsia="宋体" w:cs="宋体"/>
          <w:b/>
          <w:bCs/>
          <w:color w:val="auto"/>
          <w:highlight w:val="none"/>
        </w:rPr>
        <w:t>致 ：</w:t>
      </w:r>
      <w:r>
        <w:rPr>
          <w:rFonts w:hint="eastAsia" w:ascii="宋体" w:hAnsi="宋体" w:eastAsia="宋体" w:cs="宋体"/>
          <w:b/>
          <w:bCs/>
          <w:color w:val="auto"/>
          <w:highlight w:val="none"/>
          <w:u w:val="single"/>
          <w:lang w:val="en-US" w:eastAsia="zh-CN"/>
        </w:rPr>
        <w:t xml:space="preserve">       （招标人） </w:t>
      </w:r>
      <w:r>
        <w:rPr>
          <w:rFonts w:hint="eastAsia" w:ascii="宋体" w:hAnsi="宋体" w:eastAsia="宋体" w:cs="宋体"/>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5" w:firstLineChars="250"/>
        <w:jc w:val="left"/>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我们决定参加贵单位组织的“</w:t>
      </w:r>
      <w:r>
        <w:rPr>
          <w:rFonts w:hint="eastAsia" w:ascii="宋体" w:hAnsi="宋体" w:eastAsia="宋体" w:cs="宋体"/>
          <w:color w:val="auto"/>
          <w:highlight w:val="none"/>
          <w:u w:val="single"/>
          <w:lang w:val="en-US" w:eastAsia="zh-CN"/>
        </w:rPr>
        <w:t xml:space="preserve">                   （项目名称）</w:t>
      </w:r>
      <w:r>
        <w:rPr>
          <w:rFonts w:hint="eastAsia" w:ascii="宋体" w:hAnsi="宋体" w:eastAsia="宋体" w:cs="宋体"/>
          <w:color w:val="auto"/>
          <w:highlight w:val="none"/>
        </w:rPr>
        <w:t xml:space="preserve">”的项目。我方授权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r>
        <w:rPr>
          <w:rFonts w:hint="eastAsia" w:ascii="宋体" w:hAnsi="宋体" w:eastAsia="宋体" w:cs="宋体"/>
          <w:color w:val="auto"/>
          <w:highlight w:val="none"/>
          <w:u w:val="none"/>
        </w:rPr>
        <w:t>姓名和职务</w:t>
      </w:r>
      <w:r>
        <w:rPr>
          <w:rFonts w:hint="eastAsia" w:ascii="宋体" w:hAnsi="宋体" w:eastAsia="宋体" w:cs="宋体"/>
          <w:color w:val="auto"/>
          <w:highlight w:val="none"/>
        </w:rPr>
        <w:t xml:space="preserve">)代表我方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（投标单位的名称）全权处理本项目投标的有关事宜 </w:t>
      </w:r>
      <w:r>
        <w:rPr>
          <w:rFonts w:hint="eastAsia" w:ascii="宋体" w:hAnsi="宋体" w:eastAsia="宋体" w:cs="宋体"/>
          <w:color w:val="auto"/>
          <w:highlight w:val="none"/>
          <w:lang w:eastAsia="zh-CN"/>
        </w:rPr>
        <w:t>。</w:t>
      </w:r>
    </w:p>
    <w:p>
      <w:pPr>
        <w:spacing w:line="440" w:lineRule="exact"/>
        <w:ind w:firstLine="420" w:firstLineChars="200"/>
        <w:jc w:val="left"/>
        <w:rPr>
          <w:rFonts w:ascii="宋体" w:hAnsi="宋体"/>
          <w:color w:val="auto"/>
          <w:szCs w:val="21"/>
          <w:highlight w:val="none"/>
        </w:rPr>
      </w:pPr>
      <w:r>
        <w:rPr>
          <w:rFonts w:hint="eastAsia" w:ascii="宋体" w:hAnsi="宋体" w:cs="宋体"/>
          <w:color w:val="auto"/>
          <w:highlight w:val="none"/>
          <w:lang w:val="en-US" w:eastAsia="zh-CN"/>
        </w:rPr>
        <w:t>1.</w:t>
      </w:r>
      <w:r>
        <w:rPr>
          <w:rFonts w:hint="eastAsia" w:ascii="宋体" w:hAnsi="宋体" w:eastAsia="宋体" w:cs="宋体"/>
          <w:color w:val="auto"/>
          <w:highlight w:val="none"/>
        </w:rPr>
        <w:t>我们已仔细地研究了</w:t>
      </w:r>
      <w:r>
        <w:rPr>
          <w:rFonts w:hint="eastAsia" w:ascii="宋体" w:hAnsi="宋体" w:eastAsia="宋体" w:cs="宋体"/>
          <w:color w:val="auto"/>
          <w:highlight w:val="none"/>
          <w:u w:val="single"/>
          <w:lang w:val="en-US" w:eastAsia="zh-CN"/>
        </w:rPr>
        <w:t xml:space="preserve">                （项目名称）</w:t>
      </w:r>
      <w:r>
        <w:rPr>
          <w:rFonts w:hint="eastAsia" w:ascii="宋体" w:hAnsi="宋体" w:eastAsia="宋体" w:cs="宋体"/>
          <w:color w:val="auto"/>
          <w:highlight w:val="none"/>
        </w:rPr>
        <w:t>招标文件的全部内容，包括但不限于承包人须知合同条件、工作要求，以及全部补遗和澄清文件。我们已了解和审核了全部招标文件，并完全理解了招标文件</w:t>
      </w:r>
      <w:r>
        <w:rPr>
          <w:rFonts w:hint="eastAsia" w:ascii="宋体" w:hAnsi="宋体" w:eastAsia="宋体" w:cs="宋体"/>
          <w:color w:val="auto"/>
          <w:spacing w:val="-1"/>
          <w:highlight w:val="none"/>
        </w:rPr>
        <w:t>规定的合同范围，工作要求，并考虑到了潜在所有风险。</w:t>
      </w:r>
      <w:r>
        <w:rPr>
          <w:rFonts w:hint="eastAsia" w:ascii="宋体" w:hAnsi="宋体"/>
          <w:color w:val="auto"/>
          <w:szCs w:val="21"/>
          <w:highlight w:val="none"/>
        </w:rPr>
        <w:t>我方愿以</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元</w:t>
      </w:r>
      <w:r>
        <w:rPr>
          <w:rFonts w:hint="eastAsia" w:ascii="宋体" w:hAnsi="宋体"/>
          <w:color w:val="auto"/>
          <w:szCs w:val="21"/>
          <w:highlight w:val="none"/>
        </w:rPr>
        <w:t>的投标报价承包上述项目，并承担任何质量缺陷保修责任。</w:t>
      </w:r>
    </w:p>
    <w:p>
      <w:pPr>
        <w:numPr>
          <w:ilvl w:val="0"/>
          <w:numId w:val="0"/>
        </w:numPr>
        <w:spacing w:line="440" w:lineRule="exact"/>
        <w:ind w:leftChars="200"/>
        <w:jc w:val="left"/>
        <w:rPr>
          <w:rFonts w:ascii="宋体" w:hAnsi="宋体"/>
          <w:color w:val="auto"/>
          <w:spacing w:val="-4"/>
          <w:szCs w:val="21"/>
          <w:highlight w:val="none"/>
        </w:rPr>
      </w:pPr>
      <w:r>
        <w:rPr>
          <w:rFonts w:hint="eastAsia" w:ascii="宋体" w:hAnsi="宋体"/>
          <w:color w:val="auto"/>
          <w:spacing w:val="-4"/>
          <w:szCs w:val="21"/>
          <w:highlight w:val="none"/>
          <w:lang w:val="en-US" w:eastAsia="zh-CN"/>
        </w:rPr>
        <w:t>2.</w:t>
      </w:r>
      <w:r>
        <w:rPr>
          <w:rFonts w:hint="eastAsia" w:ascii="宋体" w:hAnsi="宋体"/>
          <w:color w:val="auto"/>
          <w:spacing w:val="-4"/>
          <w:szCs w:val="21"/>
          <w:highlight w:val="none"/>
        </w:rPr>
        <w:t>我方已详细审核全部招标文件及有关附件，承诺招标文件及有关附件中所有条款。</w:t>
      </w:r>
    </w:p>
    <w:p>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一旦我方中标，我方将派出</w:t>
      </w:r>
      <w:r>
        <w:rPr>
          <w:rFonts w:hint="eastAsia" w:ascii="宋体" w:hAnsi="宋体"/>
          <w:color w:val="auto"/>
          <w:szCs w:val="21"/>
          <w:highlight w:val="none"/>
          <w:u w:val="single"/>
        </w:rPr>
        <w:t xml:space="preserve">      </w:t>
      </w:r>
      <w:r>
        <w:rPr>
          <w:rFonts w:hint="eastAsia" w:ascii="宋体" w:hAnsi="宋体"/>
          <w:color w:val="auto"/>
          <w:szCs w:val="21"/>
          <w:highlight w:val="none"/>
        </w:rPr>
        <w:t>为本项目的项目负责人，保证按照招标人要求开始实施本项目，按招标文件要求的时间内完成本合同的施工，并移交整个项目，项目质量达到</w:t>
      </w:r>
      <w:r>
        <w:rPr>
          <w:rFonts w:ascii="宋体" w:hAnsi="宋体"/>
          <w:color w:val="auto"/>
          <w:szCs w:val="21"/>
          <w:highlight w:val="none"/>
          <w:u w:val="single"/>
        </w:rPr>
        <w:t xml:space="preserve">   </w:t>
      </w:r>
      <w:r>
        <w:rPr>
          <w:rFonts w:hint="eastAsia" w:ascii="宋体" w:hAnsi="宋体"/>
          <w:color w:val="auto"/>
          <w:szCs w:val="21"/>
          <w:highlight w:val="none"/>
          <w:u w:val="single"/>
        </w:rPr>
        <w:t>合格</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标准。</w:t>
      </w:r>
    </w:p>
    <w:p>
      <w:pPr>
        <w:spacing w:line="440" w:lineRule="exact"/>
        <w:ind w:firstLine="420" w:firstLineChars="200"/>
        <w:jc w:val="left"/>
        <w:rPr>
          <w:rFonts w:hint="eastAsia" w:ascii="宋体" w:hAnsi="宋体" w:eastAsia="宋体" w:cs="宋体"/>
          <w:color w:val="auto"/>
          <w:highlight w:val="none"/>
        </w:rPr>
      </w:pPr>
      <w:r>
        <w:rPr>
          <w:rFonts w:hint="eastAsia" w:ascii="宋体" w:hAnsi="宋体" w:eastAsia="宋体"/>
          <w:color w:val="auto"/>
          <w:szCs w:val="21"/>
          <w:highlight w:val="none"/>
          <w:lang w:val="en-US" w:eastAsia="zh-CN"/>
        </w:rPr>
        <w:t>4.</w:t>
      </w:r>
      <w:r>
        <w:rPr>
          <w:rFonts w:hint="eastAsia" w:ascii="宋体" w:hAnsi="宋体" w:eastAsia="宋体" w:cs="宋体"/>
          <w:color w:val="auto"/>
          <w:highlight w:val="none"/>
        </w:rPr>
        <w:t>如果贵方接受我单位中标，我单位保证在承包人须知规定的期限内，按本投标配备的人员及时开展工作，否则，贵方有权单方面终止合同，并令我单位立即退场，工程项目另行处理，由此造成的一切损失由我单位负责赔偿。</w:t>
      </w:r>
    </w:p>
    <w:p>
      <w:pPr>
        <w:spacing w:line="440" w:lineRule="exact"/>
        <w:ind w:firstLine="420" w:firstLineChars="200"/>
        <w:jc w:val="left"/>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如果我方在本投标书有效期内撤回投标书，或在中标通知书下达后</w:t>
      </w:r>
      <w:r>
        <w:rPr>
          <w:rFonts w:ascii="宋体" w:hAnsi="宋体"/>
          <w:color w:val="auto"/>
          <w:szCs w:val="21"/>
          <w:highlight w:val="none"/>
          <w:u w:val="single"/>
        </w:rPr>
        <w:t xml:space="preserve">  </w:t>
      </w:r>
      <w:r>
        <w:rPr>
          <w:rFonts w:hint="eastAsia" w:ascii="宋体" w:hAnsi="宋体"/>
          <w:color w:val="auto"/>
          <w:szCs w:val="21"/>
          <w:highlight w:val="none"/>
          <w:u w:val="single"/>
        </w:rPr>
        <w:t>30</w:t>
      </w:r>
      <w:r>
        <w:rPr>
          <w:rFonts w:ascii="宋体" w:hAnsi="宋体"/>
          <w:color w:val="auto"/>
          <w:szCs w:val="21"/>
          <w:highlight w:val="none"/>
          <w:u w:val="single"/>
        </w:rPr>
        <w:t xml:space="preserve"> </w:t>
      </w:r>
      <w:r>
        <w:rPr>
          <w:rFonts w:hint="eastAsia" w:ascii="宋体" w:hAnsi="宋体"/>
          <w:color w:val="auto"/>
          <w:szCs w:val="21"/>
          <w:highlight w:val="none"/>
        </w:rPr>
        <w:t>天内未能或拒绝签订合同书，或自行转标，贵单位有权另选中标单位。</w:t>
      </w:r>
    </w:p>
    <w:p>
      <w:pPr>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如果我方中标我方将按照招标文件的规定提交</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none"/>
          <w:lang w:val="en-US" w:eastAsia="zh-CN"/>
        </w:rPr>
        <w:t>万</w:t>
      </w:r>
      <w:r>
        <w:rPr>
          <w:rFonts w:hint="eastAsia" w:ascii="宋体" w:hAnsi="宋体"/>
          <w:color w:val="auto"/>
          <w:szCs w:val="21"/>
          <w:highlight w:val="none"/>
        </w:rPr>
        <w:t>元作为履约担保。项目验收合格后，方可退还。</w:t>
      </w:r>
    </w:p>
    <w:p>
      <w:pPr>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投标有效期为</w:t>
      </w:r>
      <w:r>
        <w:rPr>
          <w:rFonts w:hint="eastAsia" w:ascii="宋体" w:hAnsi="宋体"/>
          <w:color w:val="auto"/>
          <w:szCs w:val="21"/>
          <w:highlight w:val="none"/>
          <w:u w:val="single"/>
        </w:rPr>
        <w:t xml:space="preserve"> 90</w:t>
      </w:r>
      <w:r>
        <w:rPr>
          <w:rFonts w:hint="eastAsia" w:ascii="宋体" w:hAnsi="宋体"/>
          <w:color w:val="auto"/>
          <w:szCs w:val="21"/>
          <w:highlight w:val="none"/>
        </w:rPr>
        <w:t>日历天（从投标截止之日算起）。</w:t>
      </w:r>
    </w:p>
    <w:p>
      <w:pPr>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val="en-US" w:eastAsia="zh-CN"/>
        </w:rPr>
        <w:t>8.</w:t>
      </w:r>
      <w:r>
        <w:rPr>
          <w:rFonts w:hint="eastAsia" w:ascii="宋体" w:hAnsi="宋体"/>
          <w:color w:val="auto"/>
          <w:szCs w:val="21"/>
          <w:highlight w:val="none"/>
        </w:rPr>
        <w:t>我单位提供如下通讯地址：</w:t>
      </w:r>
      <w:r>
        <w:rPr>
          <w:rFonts w:hint="eastAsia" w:ascii="宋体" w:hAnsi="宋体"/>
          <w:color w:val="auto"/>
          <w:szCs w:val="21"/>
          <w:highlight w:val="none"/>
          <w:u w:val="single"/>
        </w:rPr>
        <w:t xml:space="preserve">                </w:t>
      </w:r>
      <w:r>
        <w:rPr>
          <w:rFonts w:hint="eastAsia" w:ascii="宋体" w:hAnsi="宋体"/>
          <w:color w:val="auto"/>
          <w:szCs w:val="21"/>
          <w:highlight w:val="none"/>
        </w:rPr>
        <w:t>电子邮箱（地址），确认本项目相关法律文书均通过提供的以上地址送达，相关文书只要发送至以上电子邮箱（地址）即视为送达，投标人愿意承担一切法律后果。</w:t>
      </w:r>
    </w:p>
    <w:p>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u w:val="single"/>
        </w:rPr>
        <w:t xml:space="preserve">                             （</w:t>
      </w:r>
      <w:r>
        <w:rPr>
          <w:rFonts w:hint="eastAsia" w:ascii="宋体" w:hAnsi="宋体" w:cs="宋体"/>
          <w:color w:val="auto"/>
          <w:szCs w:val="21"/>
          <w:highlight w:val="none"/>
          <w:u w:val="single"/>
          <w:lang w:val="en-US" w:eastAsia="zh-CN"/>
        </w:rPr>
        <w:t>盖</w:t>
      </w:r>
      <w:r>
        <w:rPr>
          <w:rFonts w:hint="eastAsia" w:ascii="宋体" w:hAnsi="宋体" w:eastAsia="宋体" w:cs="宋体"/>
          <w:color w:val="auto"/>
          <w:szCs w:val="21"/>
          <w:highlight w:val="none"/>
          <w:u w:val="single"/>
        </w:rPr>
        <w:t xml:space="preserve">章）   </w:t>
      </w:r>
    </w:p>
    <w:p>
      <w:pPr>
        <w:spacing w:line="600" w:lineRule="exact"/>
        <w:ind w:firstLine="2310" w:firstLineChars="110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lang w:val="en-US" w:eastAsia="zh-CN"/>
        </w:rPr>
        <w:t>或委托代理人</w:t>
      </w:r>
      <w:r>
        <w:rPr>
          <w:rFonts w:hint="eastAsia" w:ascii="宋体" w:hAnsi="宋体"/>
          <w:color w:val="auto"/>
          <w:szCs w:val="21"/>
          <w:highlight w:val="none"/>
        </w:rPr>
        <w:t>：</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签字或盖章</w:t>
      </w:r>
      <w:r>
        <w:rPr>
          <w:rFonts w:hint="eastAsia" w:ascii="宋体" w:hAnsi="宋体"/>
          <w:color w:val="auto"/>
          <w:szCs w:val="21"/>
          <w:highlight w:val="none"/>
          <w:u w:val="single"/>
        </w:rPr>
        <w:t>）</w:t>
      </w:r>
    </w:p>
    <w:p>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单位地址：</w:t>
      </w:r>
      <w:r>
        <w:rPr>
          <w:rFonts w:hint="eastAsia" w:ascii="宋体" w:hAnsi="宋体" w:eastAsia="宋体" w:cs="宋体"/>
          <w:color w:val="auto"/>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邮政编码：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电话：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传真：</w:t>
      </w:r>
      <w:r>
        <w:rPr>
          <w:rFonts w:hint="eastAsia" w:ascii="宋体" w:hAnsi="宋体" w:eastAsia="宋体" w:cs="宋体"/>
          <w:color w:val="auto"/>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年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月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pPr>
        <w:pStyle w:val="8"/>
        <w:adjustRightInd w:val="0"/>
        <w:snapToGrid w:val="0"/>
        <w:spacing w:before="0" w:after="0" w:line="560" w:lineRule="exact"/>
        <w:jc w:val="center"/>
        <w:rPr>
          <w:rFonts w:hint="eastAsia"/>
          <w:color w:val="auto"/>
          <w:highlight w:val="none"/>
        </w:rPr>
      </w:pPr>
      <w:r>
        <w:rPr>
          <w:rFonts w:hint="eastAsia"/>
          <w:color w:val="auto"/>
          <w:sz w:val="32"/>
          <w:szCs w:val="32"/>
          <w:highlight w:val="none"/>
        </w:rPr>
        <w:br w:type="page"/>
      </w:r>
      <w:bookmarkEnd w:id="7"/>
      <w:bookmarkEnd w:id="8"/>
      <w:bookmarkEnd w:id="9"/>
      <w:bookmarkEnd w:id="10"/>
      <w:bookmarkEnd w:id="11"/>
      <w:bookmarkEnd w:id="913"/>
      <w:bookmarkEnd w:id="914"/>
      <w:bookmarkEnd w:id="915"/>
      <w:bookmarkEnd w:id="916"/>
      <w:bookmarkStart w:id="917" w:name="_Toc78803402"/>
      <w:r>
        <w:rPr>
          <w:rFonts w:hint="eastAsia"/>
          <w:color w:val="auto"/>
          <w:highlight w:val="none"/>
        </w:rPr>
        <w:t>（2）工程量清单报价书</w:t>
      </w:r>
    </w:p>
    <w:p>
      <w:pPr>
        <w:jc w:val="center"/>
        <w:rPr>
          <w:rFonts w:ascii="Calibri" w:hAnsi="Calibri"/>
          <w:color w:val="auto"/>
          <w:sz w:val="32"/>
          <w:szCs w:val="32"/>
          <w:highlight w:val="none"/>
        </w:rPr>
      </w:pPr>
    </w:p>
    <w:p>
      <w:pPr>
        <w:jc w:val="center"/>
        <w:rPr>
          <w:rFonts w:ascii="Calibri" w:hAnsi="Calibri"/>
          <w:color w:val="auto"/>
          <w:sz w:val="32"/>
          <w:szCs w:val="32"/>
          <w:highlight w:val="none"/>
        </w:rPr>
      </w:pPr>
      <w:r>
        <w:rPr>
          <w:rFonts w:hint="eastAsia" w:ascii="仿宋_GB2312" w:hAnsi="Calibri" w:eastAsia="仿宋_GB2312"/>
          <w:b/>
          <w:color w:val="auto"/>
          <w:sz w:val="36"/>
          <w:szCs w:val="36"/>
          <w:highlight w:val="none"/>
        </w:rPr>
        <w:t>①</w:t>
      </w:r>
      <w:r>
        <w:rPr>
          <w:rFonts w:hint="eastAsia" w:ascii="Calibri" w:hAnsi="Calibri"/>
          <w:b/>
          <w:color w:val="auto"/>
          <w:sz w:val="36"/>
          <w:szCs w:val="36"/>
          <w:highlight w:val="none"/>
        </w:rPr>
        <w:t>工程量清单报价书（封面）</w:t>
      </w:r>
      <w:r>
        <w:rPr>
          <w:rFonts w:hint="eastAsia" w:ascii="Calibri" w:hAnsi="Calibri"/>
          <w:color w:val="auto"/>
          <w:sz w:val="32"/>
          <w:szCs w:val="32"/>
          <w:highlight w:val="none"/>
          <w:vertAlign w:val="superscript"/>
        </w:rPr>
        <w:t>1</w:t>
      </w:r>
    </w:p>
    <w:p>
      <w:pPr>
        <w:jc w:val="center"/>
        <w:rPr>
          <w:rFonts w:ascii="Calibri" w:hAnsi="Calibri"/>
          <w:b/>
          <w:color w:val="auto"/>
          <w:sz w:val="32"/>
          <w:szCs w:val="32"/>
          <w:highlight w:val="none"/>
        </w:rPr>
      </w:pPr>
    </w:p>
    <w:p>
      <w:pPr>
        <w:ind w:firstLine="643" w:firstLineChars="200"/>
        <w:jc w:val="center"/>
        <w:rPr>
          <w:rFonts w:ascii="Calibri" w:hAnsi="Calibri"/>
          <w:b/>
          <w:color w:val="auto"/>
          <w:sz w:val="32"/>
          <w:szCs w:val="32"/>
          <w:highlight w:val="none"/>
        </w:rPr>
      </w:pPr>
      <w:r>
        <w:rPr>
          <w:rFonts w:hint="eastAsia" w:ascii="Calibri" w:hAnsi="Calibri"/>
          <w:b/>
          <w:color w:val="auto"/>
          <w:sz w:val="32"/>
          <w:szCs w:val="32"/>
          <w:highlight w:val="none"/>
        </w:rPr>
        <w:t>投标总价</w:t>
      </w:r>
    </w:p>
    <w:p>
      <w:pPr>
        <w:spacing w:line="800" w:lineRule="exact"/>
        <w:ind w:firstLine="640" w:firstLineChars="200"/>
        <w:rPr>
          <w:rFonts w:ascii="Calibri" w:hAnsi="Calibri"/>
          <w:color w:val="auto"/>
          <w:sz w:val="32"/>
          <w:szCs w:val="32"/>
          <w:highlight w:val="none"/>
          <w:u w:val="single"/>
        </w:rPr>
      </w:pPr>
      <w:r>
        <w:rPr>
          <w:rFonts w:hint="eastAsia" w:ascii="Calibri" w:hAnsi="Calibri"/>
          <w:color w:val="auto"/>
          <w:sz w:val="32"/>
          <w:szCs w:val="32"/>
          <w:highlight w:val="none"/>
        </w:rPr>
        <w:t>招标人：</w:t>
      </w:r>
      <w:r>
        <w:rPr>
          <w:rFonts w:hint="eastAsia" w:ascii="Calibri" w:hAnsi="Calibri"/>
          <w:color w:val="auto"/>
          <w:sz w:val="32"/>
          <w:szCs w:val="32"/>
          <w:highlight w:val="none"/>
          <w:u w:val="single"/>
        </w:rPr>
        <w:t xml:space="preserve">                                                 </w:t>
      </w:r>
    </w:p>
    <w:p>
      <w:pPr>
        <w:spacing w:line="800" w:lineRule="exact"/>
        <w:ind w:firstLine="640" w:firstLineChars="200"/>
        <w:rPr>
          <w:rFonts w:ascii="Calibri" w:hAnsi="Calibri"/>
          <w:color w:val="auto"/>
          <w:sz w:val="32"/>
          <w:szCs w:val="32"/>
          <w:highlight w:val="none"/>
        </w:rPr>
      </w:pPr>
      <w:r>
        <w:rPr>
          <w:rFonts w:hint="eastAsia" w:ascii="Calibri" w:hAnsi="Calibri"/>
          <w:color w:val="auto"/>
          <w:sz w:val="32"/>
          <w:szCs w:val="32"/>
          <w:highlight w:val="none"/>
        </w:rPr>
        <w:t>工程名称：</w:t>
      </w:r>
      <w:r>
        <w:rPr>
          <w:rFonts w:hint="eastAsia" w:ascii="Calibri" w:hAnsi="Calibri"/>
          <w:color w:val="auto"/>
          <w:sz w:val="32"/>
          <w:szCs w:val="32"/>
          <w:highlight w:val="none"/>
          <w:u w:val="single"/>
        </w:rPr>
        <w:t xml:space="preserve">                                               </w:t>
      </w:r>
    </w:p>
    <w:p>
      <w:pPr>
        <w:spacing w:line="800" w:lineRule="exact"/>
        <w:ind w:firstLine="640" w:firstLineChars="200"/>
        <w:rPr>
          <w:rFonts w:ascii="Calibri" w:hAnsi="Calibri"/>
          <w:color w:val="auto"/>
          <w:sz w:val="32"/>
          <w:szCs w:val="32"/>
          <w:highlight w:val="none"/>
          <w:u w:val="single"/>
        </w:rPr>
      </w:pPr>
      <w:r>
        <w:rPr>
          <w:rFonts w:hint="eastAsia" w:ascii="Calibri" w:hAnsi="Calibri"/>
          <w:color w:val="auto"/>
          <w:sz w:val="32"/>
          <w:szCs w:val="32"/>
          <w:highlight w:val="none"/>
        </w:rPr>
        <w:t>投标总价（小写）：</w:t>
      </w:r>
      <w:r>
        <w:rPr>
          <w:rFonts w:hint="eastAsia" w:ascii="Calibri" w:hAnsi="Calibri"/>
          <w:color w:val="auto"/>
          <w:sz w:val="32"/>
          <w:szCs w:val="32"/>
          <w:highlight w:val="none"/>
          <w:u w:val="single"/>
        </w:rPr>
        <w:t xml:space="preserve">                                       </w:t>
      </w:r>
    </w:p>
    <w:p>
      <w:pPr>
        <w:spacing w:line="800" w:lineRule="exact"/>
        <w:ind w:firstLine="1920" w:firstLineChars="600"/>
        <w:rPr>
          <w:rFonts w:ascii="Calibri" w:hAnsi="Calibri"/>
          <w:color w:val="auto"/>
          <w:sz w:val="32"/>
          <w:szCs w:val="32"/>
          <w:highlight w:val="none"/>
        </w:rPr>
      </w:pPr>
      <w:r>
        <w:rPr>
          <w:rFonts w:hint="eastAsia" w:ascii="Calibri" w:hAnsi="Calibri"/>
          <w:color w:val="auto"/>
          <w:sz w:val="32"/>
          <w:szCs w:val="32"/>
          <w:highlight w:val="none"/>
        </w:rPr>
        <w:t>（大写）：</w:t>
      </w:r>
      <w:r>
        <w:rPr>
          <w:rFonts w:hint="eastAsia" w:ascii="Calibri" w:hAnsi="Calibri"/>
          <w:color w:val="auto"/>
          <w:sz w:val="32"/>
          <w:szCs w:val="32"/>
          <w:highlight w:val="none"/>
          <w:u w:val="single"/>
        </w:rPr>
        <w:t xml:space="preserve">                                       </w:t>
      </w:r>
    </w:p>
    <w:p>
      <w:pPr>
        <w:spacing w:line="800" w:lineRule="exact"/>
        <w:ind w:firstLine="640" w:firstLineChars="200"/>
        <w:rPr>
          <w:rFonts w:ascii="Calibri" w:hAnsi="Calibri"/>
          <w:color w:val="auto"/>
          <w:sz w:val="32"/>
          <w:szCs w:val="32"/>
          <w:highlight w:val="none"/>
        </w:rPr>
      </w:pPr>
    </w:p>
    <w:p>
      <w:pPr>
        <w:spacing w:line="800" w:lineRule="exact"/>
        <w:ind w:firstLine="640" w:firstLineChars="200"/>
        <w:rPr>
          <w:rFonts w:ascii="Calibri" w:hAnsi="Calibri"/>
          <w:color w:val="auto"/>
          <w:sz w:val="32"/>
          <w:szCs w:val="32"/>
          <w:highlight w:val="none"/>
        </w:rPr>
      </w:pPr>
      <w:r>
        <w:rPr>
          <w:rFonts w:hint="eastAsia" w:ascii="Calibri" w:hAnsi="Calibri"/>
          <w:color w:val="auto"/>
          <w:sz w:val="32"/>
          <w:szCs w:val="32"/>
          <w:highlight w:val="none"/>
        </w:rPr>
        <w:t>投 标 人：</w:t>
      </w:r>
      <w:r>
        <w:rPr>
          <w:rFonts w:hint="eastAsia" w:ascii="Calibri" w:hAnsi="Calibri"/>
          <w:color w:val="auto"/>
          <w:sz w:val="32"/>
          <w:szCs w:val="32"/>
          <w:highlight w:val="none"/>
          <w:u w:val="single"/>
        </w:rPr>
        <w:t xml:space="preserve">                                     </w:t>
      </w:r>
      <w:r>
        <w:rPr>
          <w:rFonts w:hint="eastAsia" w:ascii="Calibri" w:hAnsi="Calibri"/>
          <w:color w:val="auto"/>
          <w:sz w:val="32"/>
          <w:szCs w:val="32"/>
          <w:highlight w:val="none"/>
        </w:rPr>
        <w:t xml:space="preserve"> (单位盖章)</w:t>
      </w:r>
    </w:p>
    <w:p>
      <w:pPr>
        <w:spacing w:line="800" w:lineRule="exact"/>
        <w:ind w:firstLine="640" w:firstLineChars="200"/>
        <w:rPr>
          <w:rFonts w:ascii="Calibri" w:hAnsi="Calibri"/>
          <w:color w:val="auto"/>
          <w:sz w:val="32"/>
          <w:szCs w:val="32"/>
          <w:highlight w:val="none"/>
        </w:rPr>
      </w:pPr>
    </w:p>
    <w:p>
      <w:pPr>
        <w:spacing w:line="800" w:lineRule="exact"/>
        <w:ind w:firstLine="640" w:firstLineChars="200"/>
        <w:rPr>
          <w:rFonts w:ascii="Calibri" w:hAnsi="Calibri"/>
          <w:color w:val="auto"/>
          <w:sz w:val="32"/>
          <w:szCs w:val="32"/>
          <w:highlight w:val="none"/>
        </w:rPr>
      </w:pPr>
      <w:r>
        <w:rPr>
          <w:rFonts w:hint="eastAsia" w:ascii="Calibri" w:hAnsi="Calibri"/>
          <w:color w:val="auto"/>
          <w:sz w:val="32"/>
          <w:szCs w:val="32"/>
          <w:highlight w:val="none"/>
        </w:rPr>
        <w:t>法定代表人：</w:t>
      </w:r>
      <w:r>
        <w:rPr>
          <w:rFonts w:hint="eastAsia" w:ascii="Calibri" w:hAnsi="Calibri"/>
          <w:color w:val="auto"/>
          <w:sz w:val="32"/>
          <w:szCs w:val="32"/>
          <w:highlight w:val="none"/>
          <w:u w:val="single"/>
        </w:rPr>
        <w:t xml:space="preserve">                                 </w:t>
      </w:r>
      <w:r>
        <w:rPr>
          <w:rFonts w:hint="eastAsia" w:ascii="Calibri" w:hAnsi="Calibri"/>
          <w:color w:val="auto"/>
          <w:sz w:val="32"/>
          <w:szCs w:val="32"/>
          <w:highlight w:val="none"/>
        </w:rPr>
        <w:t xml:space="preserve"> (签字或盖章)</w:t>
      </w:r>
    </w:p>
    <w:p>
      <w:pPr>
        <w:spacing w:line="800" w:lineRule="exact"/>
        <w:ind w:firstLine="640" w:firstLineChars="200"/>
        <w:rPr>
          <w:rFonts w:ascii="Calibri" w:hAnsi="Calibri"/>
          <w:color w:val="auto"/>
          <w:sz w:val="32"/>
          <w:szCs w:val="32"/>
          <w:highlight w:val="none"/>
        </w:rPr>
      </w:pPr>
    </w:p>
    <w:p>
      <w:pPr>
        <w:spacing w:line="800" w:lineRule="exact"/>
        <w:ind w:firstLine="640" w:firstLineChars="200"/>
        <w:rPr>
          <w:rFonts w:ascii="Calibri" w:hAnsi="Calibri"/>
          <w:color w:val="auto"/>
          <w:sz w:val="32"/>
          <w:szCs w:val="32"/>
          <w:highlight w:val="none"/>
          <w:u w:val="single"/>
        </w:rPr>
      </w:pPr>
      <w:r>
        <w:rPr>
          <w:rFonts w:hint="eastAsia" w:ascii="Calibri" w:hAnsi="Calibri"/>
          <w:color w:val="auto"/>
          <w:sz w:val="32"/>
          <w:szCs w:val="32"/>
          <w:highlight w:val="none"/>
        </w:rPr>
        <w:t>编制人：</w:t>
      </w:r>
      <w:r>
        <w:rPr>
          <w:rFonts w:hint="eastAsia" w:ascii="Calibri" w:hAnsi="Calibri"/>
          <w:color w:val="auto"/>
          <w:sz w:val="32"/>
          <w:szCs w:val="32"/>
          <w:highlight w:val="none"/>
          <w:u w:val="single"/>
        </w:rPr>
        <w:t xml:space="preserve">                                                 </w:t>
      </w:r>
    </w:p>
    <w:p>
      <w:pPr>
        <w:spacing w:line="800" w:lineRule="exact"/>
        <w:ind w:firstLine="2720" w:firstLineChars="850"/>
        <w:rPr>
          <w:rFonts w:ascii="Calibri" w:hAnsi="Calibri"/>
          <w:color w:val="auto"/>
          <w:sz w:val="32"/>
          <w:szCs w:val="32"/>
          <w:highlight w:val="none"/>
          <w:u w:val="single"/>
        </w:rPr>
      </w:pPr>
      <w:r>
        <w:rPr>
          <w:rFonts w:hint="eastAsia" w:ascii="Calibri" w:hAnsi="Calibri"/>
          <w:color w:val="auto"/>
          <w:sz w:val="32"/>
          <w:szCs w:val="32"/>
          <w:highlight w:val="none"/>
        </w:rPr>
        <w:t xml:space="preserve"> (注册造价工程师签字并盖执业专用章)</w:t>
      </w:r>
    </w:p>
    <w:p>
      <w:pPr>
        <w:spacing w:line="800" w:lineRule="exact"/>
        <w:ind w:firstLine="640" w:firstLineChars="200"/>
        <w:rPr>
          <w:rFonts w:ascii="Calibri" w:hAnsi="Calibri"/>
          <w:color w:val="auto"/>
          <w:sz w:val="32"/>
          <w:szCs w:val="32"/>
          <w:highlight w:val="none"/>
        </w:rPr>
      </w:pPr>
    </w:p>
    <w:p>
      <w:pPr>
        <w:spacing w:line="800" w:lineRule="exact"/>
        <w:ind w:firstLine="640" w:firstLineChars="200"/>
        <w:rPr>
          <w:rFonts w:ascii="Calibri" w:hAnsi="Calibri"/>
          <w:color w:val="auto"/>
          <w:sz w:val="32"/>
          <w:szCs w:val="32"/>
          <w:highlight w:val="none"/>
        </w:rPr>
      </w:pPr>
      <w:r>
        <w:rPr>
          <w:rFonts w:hint="eastAsia" w:ascii="Calibri" w:hAnsi="Calibri"/>
          <w:color w:val="auto"/>
          <w:sz w:val="32"/>
          <w:szCs w:val="32"/>
          <w:highlight w:val="none"/>
        </w:rPr>
        <w:t>编制时间：</w:t>
      </w:r>
      <w:r>
        <w:rPr>
          <w:rFonts w:hint="eastAsia" w:ascii="Calibri" w:hAnsi="Calibri"/>
          <w:color w:val="auto"/>
          <w:sz w:val="32"/>
          <w:szCs w:val="32"/>
          <w:highlight w:val="none"/>
          <w:u w:val="single"/>
        </w:rPr>
        <w:t xml:space="preserve">             </w:t>
      </w:r>
      <w:r>
        <w:rPr>
          <w:rFonts w:hint="eastAsia" w:ascii="Calibri" w:hAnsi="Calibri"/>
          <w:color w:val="auto"/>
          <w:sz w:val="32"/>
          <w:szCs w:val="32"/>
          <w:highlight w:val="none"/>
        </w:rPr>
        <w:t>年</w:t>
      </w:r>
      <w:r>
        <w:rPr>
          <w:rFonts w:hint="eastAsia" w:ascii="Calibri" w:hAnsi="Calibri"/>
          <w:color w:val="auto"/>
          <w:sz w:val="32"/>
          <w:szCs w:val="32"/>
          <w:highlight w:val="none"/>
          <w:u w:val="single"/>
        </w:rPr>
        <w:t xml:space="preserve">          </w:t>
      </w:r>
      <w:r>
        <w:rPr>
          <w:rFonts w:hint="eastAsia" w:ascii="Calibri" w:hAnsi="Calibri"/>
          <w:color w:val="auto"/>
          <w:sz w:val="32"/>
          <w:szCs w:val="32"/>
          <w:highlight w:val="none"/>
        </w:rPr>
        <w:t>月</w:t>
      </w:r>
      <w:r>
        <w:rPr>
          <w:rFonts w:hint="eastAsia" w:ascii="Calibri" w:hAnsi="Calibri"/>
          <w:color w:val="auto"/>
          <w:sz w:val="32"/>
          <w:szCs w:val="32"/>
          <w:highlight w:val="none"/>
          <w:u w:val="single"/>
        </w:rPr>
        <w:t xml:space="preserve">          </w:t>
      </w:r>
      <w:r>
        <w:rPr>
          <w:rFonts w:hint="eastAsia" w:ascii="Calibri" w:hAnsi="Calibri"/>
          <w:color w:val="auto"/>
          <w:sz w:val="32"/>
          <w:szCs w:val="32"/>
          <w:highlight w:val="none"/>
        </w:rPr>
        <w:t>日</w:t>
      </w:r>
    </w:p>
    <w:p>
      <w:pPr>
        <w:rPr>
          <w:rFonts w:ascii="Calibri" w:hAnsi="Calibri"/>
          <w:color w:val="auto"/>
          <w:sz w:val="32"/>
          <w:szCs w:val="32"/>
          <w:highlight w:val="none"/>
        </w:rPr>
      </w:pPr>
    </w:p>
    <w:p>
      <w:pPr>
        <w:rPr>
          <w:rFonts w:ascii="宋体" w:hAnsi="宋体"/>
          <w:color w:val="auto"/>
          <w:sz w:val="18"/>
          <w:szCs w:val="18"/>
          <w:highlight w:val="none"/>
        </w:rPr>
      </w:pPr>
      <w:r>
        <w:rPr>
          <w:rFonts w:hint="eastAsia" w:ascii="宋体" w:hAnsi="宋体"/>
          <w:color w:val="auto"/>
          <w:sz w:val="18"/>
          <w:szCs w:val="18"/>
          <w:highlight w:val="none"/>
        </w:rPr>
        <w:t>1注：投标文件格式中工程量清单报价书（封面）及投标报价编制人信息表与投标文件制作工具导出文件不一致的，以投标文件格式文件为准。</w:t>
      </w:r>
    </w:p>
    <w:p>
      <w:pPr>
        <w:jc w:val="center"/>
        <w:rPr>
          <w:rFonts w:hint="eastAsia" w:ascii="宋体" w:hAnsi="宋体"/>
          <w:color w:val="auto"/>
          <w:sz w:val="32"/>
          <w:szCs w:val="32"/>
          <w:highlight w:val="none"/>
        </w:rPr>
      </w:pPr>
    </w:p>
    <w:p>
      <w:pPr>
        <w:rPr>
          <w:rFonts w:hint="eastAsia" w:ascii="宋体" w:hAnsi="宋体"/>
          <w:color w:val="auto"/>
          <w:sz w:val="32"/>
          <w:szCs w:val="32"/>
          <w:highlight w:val="none"/>
        </w:rPr>
      </w:pPr>
    </w:p>
    <w:p>
      <w:pPr>
        <w:jc w:val="center"/>
        <w:rPr>
          <w:rFonts w:ascii="宋体" w:hAnsi="宋体"/>
          <w:color w:val="auto"/>
          <w:sz w:val="32"/>
          <w:szCs w:val="32"/>
          <w:highlight w:val="none"/>
        </w:rPr>
        <w:sectPr>
          <w:footerReference r:id="rId6" w:type="default"/>
          <w:pgSz w:w="11910" w:h="16840"/>
          <w:pgMar w:top="1060" w:right="660" w:bottom="1020" w:left="1120" w:header="0" w:footer="833" w:gutter="0"/>
          <w:pgNumType w:fmt="decimal" w:start="1"/>
          <w:cols w:space="720" w:num="1"/>
        </w:sectPr>
      </w:pPr>
    </w:p>
    <w:p>
      <w:pPr>
        <w:jc w:val="center"/>
        <w:rPr>
          <w:rFonts w:hint="eastAsia" w:ascii="宋体" w:hAnsi="宋体"/>
          <w:color w:val="auto"/>
          <w:sz w:val="32"/>
          <w:szCs w:val="32"/>
          <w:highlight w:val="none"/>
        </w:rPr>
      </w:pPr>
    </w:p>
    <w:p>
      <w:pPr>
        <w:jc w:val="center"/>
        <w:rPr>
          <w:rFonts w:ascii="Calibri" w:hAnsi="Calibri"/>
          <w:color w:val="auto"/>
          <w:sz w:val="32"/>
          <w:szCs w:val="32"/>
          <w:highlight w:val="none"/>
        </w:rPr>
      </w:pPr>
      <w:r>
        <w:rPr>
          <w:rFonts w:hint="eastAsia" w:ascii="宋体" w:hAnsi="宋体"/>
          <w:color w:val="auto"/>
          <w:sz w:val="32"/>
          <w:szCs w:val="32"/>
          <w:highlight w:val="none"/>
        </w:rPr>
        <w:t>②</w:t>
      </w:r>
      <w:r>
        <w:rPr>
          <w:rFonts w:hint="eastAsia" w:ascii="Calibri" w:hAnsi="Calibri"/>
          <w:color w:val="auto"/>
          <w:sz w:val="32"/>
          <w:szCs w:val="32"/>
          <w:highlight w:val="none"/>
        </w:rPr>
        <w:t>投标报价编制人信息表</w:t>
      </w:r>
      <w:r>
        <w:rPr>
          <w:rFonts w:hint="eastAsia" w:ascii="Calibri" w:hAnsi="Calibri"/>
          <w:color w:val="auto"/>
          <w:sz w:val="32"/>
          <w:szCs w:val="32"/>
          <w:highlight w:val="none"/>
          <w:vertAlign w:val="superscript"/>
        </w:rPr>
        <w:t>1</w:t>
      </w:r>
    </w:p>
    <w:p>
      <w:pPr>
        <w:jc w:val="center"/>
        <w:rPr>
          <w:rFonts w:ascii="Calibri" w:hAnsi="Calibri"/>
          <w:color w:val="auto"/>
          <w:sz w:val="32"/>
          <w:szCs w:val="32"/>
          <w:highlight w:val="none"/>
        </w:rPr>
      </w:pPr>
    </w:p>
    <w:tbl>
      <w:tblPr>
        <w:tblStyle w:val="47"/>
        <w:tblW w:w="10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1216"/>
        <w:gridCol w:w="2951"/>
        <w:gridCol w:w="1737"/>
        <w:gridCol w:w="1563"/>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827"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序号</w:t>
            </w:r>
          </w:p>
        </w:tc>
        <w:tc>
          <w:tcPr>
            <w:tcW w:w="1216"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姓名</w:t>
            </w:r>
          </w:p>
        </w:tc>
        <w:tc>
          <w:tcPr>
            <w:tcW w:w="2951"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身份证号码</w:t>
            </w:r>
          </w:p>
        </w:tc>
        <w:tc>
          <w:tcPr>
            <w:tcW w:w="1737"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手机号码</w:t>
            </w:r>
          </w:p>
        </w:tc>
        <w:tc>
          <w:tcPr>
            <w:tcW w:w="1563"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单位名称</w:t>
            </w:r>
          </w:p>
        </w:tc>
        <w:tc>
          <w:tcPr>
            <w:tcW w:w="1967" w:type="dxa"/>
            <w:noWrap w:val="0"/>
            <w:vAlign w:val="center"/>
          </w:tcPr>
          <w:p>
            <w:pPr>
              <w:jc w:val="center"/>
              <w:rPr>
                <w:rFonts w:ascii="Calibri" w:hAnsi="Calibri"/>
                <w:color w:val="auto"/>
                <w:szCs w:val="22"/>
                <w:highlight w:val="none"/>
              </w:rPr>
            </w:pPr>
            <w:r>
              <w:rPr>
                <w:rFonts w:hint="eastAsia" w:ascii="Calibri" w:hAnsi="Calibri"/>
                <w:color w:val="auto"/>
                <w:szCs w:val="22"/>
                <w:highlight w:val="none"/>
              </w:rPr>
              <w:t>注册造价工程师注册证书号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827" w:type="dxa"/>
            <w:noWrap w:val="0"/>
            <w:vAlign w:val="center"/>
          </w:tcPr>
          <w:p>
            <w:pPr>
              <w:jc w:val="center"/>
              <w:rPr>
                <w:rFonts w:ascii="Calibri" w:hAnsi="Calibri"/>
                <w:color w:val="auto"/>
                <w:szCs w:val="22"/>
                <w:highlight w:val="none"/>
              </w:rPr>
            </w:pPr>
          </w:p>
        </w:tc>
        <w:tc>
          <w:tcPr>
            <w:tcW w:w="1216" w:type="dxa"/>
            <w:noWrap w:val="0"/>
            <w:vAlign w:val="center"/>
          </w:tcPr>
          <w:p>
            <w:pPr>
              <w:jc w:val="center"/>
              <w:rPr>
                <w:rFonts w:ascii="Calibri" w:hAnsi="Calibri"/>
                <w:color w:val="auto"/>
                <w:szCs w:val="22"/>
                <w:highlight w:val="none"/>
              </w:rPr>
            </w:pPr>
          </w:p>
        </w:tc>
        <w:tc>
          <w:tcPr>
            <w:tcW w:w="2951" w:type="dxa"/>
            <w:noWrap w:val="0"/>
            <w:vAlign w:val="center"/>
          </w:tcPr>
          <w:p>
            <w:pPr>
              <w:jc w:val="center"/>
              <w:rPr>
                <w:rFonts w:ascii="Calibri" w:hAnsi="Calibri"/>
                <w:color w:val="auto"/>
                <w:szCs w:val="22"/>
                <w:highlight w:val="none"/>
              </w:rPr>
            </w:pPr>
          </w:p>
        </w:tc>
        <w:tc>
          <w:tcPr>
            <w:tcW w:w="1737" w:type="dxa"/>
            <w:noWrap w:val="0"/>
            <w:vAlign w:val="center"/>
          </w:tcPr>
          <w:p>
            <w:pPr>
              <w:jc w:val="center"/>
              <w:rPr>
                <w:rFonts w:ascii="Calibri" w:hAnsi="Calibri"/>
                <w:color w:val="auto"/>
                <w:szCs w:val="22"/>
                <w:highlight w:val="none"/>
              </w:rPr>
            </w:pPr>
          </w:p>
        </w:tc>
        <w:tc>
          <w:tcPr>
            <w:tcW w:w="1563" w:type="dxa"/>
            <w:noWrap w:val="0"/>
            <w:vAlign w:val="center"/>
          </w:tcPr>
          <w:p>
            <w:pPr>
              <w:jc w:val="center"/>
              <w:rPr>
                <w:rFonts w:ascii="Calibri" w:hAnsi="Calibri"/>
                <w:color w:val="auto"/>
                <w:szCs w:val="22"/>
                <w:highlight w:val="none"/>
              </w:rPr>
            </w:pPr>
          </w:p>
        </w:tc>
        <w:tc>
          <w:tcPr>
            <w:tcW w:w="1967" w:type="dxa"/>
            <w:noWrap w:val="0"/>
            <w:vAlign w:val="center"/>
          </w:tcPr>
          <w:p>
            <w:pPr>
              <w:jc w:val="center"/>
              <w:rPr>
                <w:rFonts w:ascii="Calibri" w:hAnsi="Calibri"/>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4" w:hRule="atLeast"/>
          <w:jc w:val="center"/>
        </w:trPr>
        <w:tc>
          <w:tcPr>
            <w:tcW w:w="827" w:type="dxa"/>
            <w:noWrap w:val="0"/>
            <w:vAlign w:val="center"/>
          </w:tcPr>
          <w:p>
            <w:pPr>
              <w:jc w:val="center"/>
              <w:rPr>
                <w:rFonts w:ascii="Calibri" w:hAnsi="Calibri"/>
                <w:color w:val="auto"/>
                <w:szCs w:val="22"/>
                <w:highlight w:val="none"/>
              </w:rPr>
            </w:pPr>
          </w:p>
        </w:tc>
        <w:tc>
          <w:tcPr>
            <w:tcW w:w="1216" w:type="dxa"/>
            <w:noWrap w:val="0"/>
            <w:vAlign w:val="center"/>
          </w:tcPr>
          <w:p>
            <w:pPr>
              <w:jc w:val="center"/>
              <w:rPr>
                <w:rFonts w:ascii="Calibri" w:hAnsi="Calibri"/>
                <w:color w:val="auto"/>
                <w:szCs w:val="22"/>
                <w:highlight w:val="none"/>
              </w:rPr>
            </w:pPr>
          </w:p>
        </w:tc>
        <w:tc>
          <w:tcPr>
            <w:tcW w:w="2951" w:type="dxa"/>
            <w:noWrap w:val="0"/>
            <w:vAlign w:val="center"/>
          </w:tcPr>
          <w:p>
            <w:pPr>
              <w:jc w:val="center"/>
              <w:rPr>
                <w:rFonts w:ascii="Calibri" w:hAnsi="Calibri"/>
                <w:color w:val="auto"/>
                <w:szCs w:val="22"/>
                <w:highlight w:val="none"/>
              </w:rPr>
            </w:pPr>
          </w:p>
        </w:tc>
        <w:tc>
          <w:tcPr>
            <w:tcW w:w="1737" w:type="dxa"/>
            <w:noWrap w:val="0"/>
            <w:vAlign w:val="center"/>
          </w:tcPr>
          <w:p>
            <w:pPr>
              <w:jc w:val="center"/>
              <w:rPr>
                <w:rFonts w:ascii="Calibri" w:hAnsi="Calibri"/>
                <w:color w:val="auto"/>
                <w:szCs w:val="22"/>
                <w:highlight w:val="none"/>
              </w:rPr>
            </w:pPr>
          </w:p>
        </w:tc>
        <w:tc>
          <w:tcPr>
            <w:tcW w:w="1563" w:type="dxa"/>
            <w:noWrap w:val="0"/>
            <w:vAlign w:val="center"/>
          </w:tcPr>
          <w:p>
            <w:pPr>
              <w:jc w:val="center"/>
              <w:rPr>
                <w:rFonts w:ascii="Calibri" w:hAnsi="Calibri"/>
                <w:color w:val="auto"/>
                <w:szCs w:val="22"/>
                <w:highlight w:val="none"/>
              </w:rPr>
            </w:pPr>
          </w:p>
        </w:tc>
        <w:tc>
          <w:tcPr>
            <w:tcW w:w="1967" w:type="dxa"/>
            <w:noWrap w:val="0"/>
            <w:vAlign w:val="center"/>
          </w:tcPr>
          <w:p>
            <w:pPr>
              <w:jc w:val="center"/>
              <w:rPr>
                <w:rFonts w:ascii="Calibri" w:hAnsi="Calibri"/>
                <w:color w:val="auto"/>
                <w:szCs w:val="22"/>
                <w:highlight w:val="none"/>
              </w:rPr>
            </w:pPr>
          </w:p>
        </w:tc>
      </w:tr>
    </w:tbl>
    <w:p>
      <w:pPr>
        <w:rPr>
          <w:rFonts w:ascii="宋体" w:hAnsi="宋体"/>
          <w:b/>
          <w:color w:val="auto"/>
          <w:sz w:val="24"/>
          <w:highlight w:val="none"/>
        </w:rPr>
      </w:pPr>
    </w:p>
    <w:p>
      <w:pPr>
        <w:spacing w:line="560" w:lineRule="exact"/>
        <w:rPr>
          <w:rFonts w:ascii="宋体" w:hAnsi="宋体"/>
          <w:b/>
          <w:color w:val="auto"/>
          <w:sz w:val="24"/>
          <w:highlight w:val="none"/>
        </w:rPr>
      </w:pPr>
      <w:r>
        <w:rPr>
          <w:rFonts w:hint="eastAsia" w:ascii="宋体" w:hAnsi="宋体"/>
          <w:b/>
          <w:color w:val="auto"/>
          <w:sz w:val="24"/>
          <w:highlight w:val="none"/>
        </w:rPr>
        <w:t>注：</w:t>
      </w:r>
    </w:p>
    <w:p>
      <w:pPr>
        <w:spacing w:line="560" w:lineRule="exact"/>
        <w:rPr>
          <w:rFonts w:ascii="宋体" w:hAnsi="宋体"/>
          <w:color w:val="auto"/>
          <w:sz w:val="24"/>
          <w:highlight w:val="none"/>
        </w:rPr>
      </w:pPr>
      <w:r>
        <w:rPr>
          <w:rFonts w:hint="eastAsia" w:ascii="宋体" w:hAnsi="宋体"/>
          <w:color w:val="auto"/>
          <w:sz w:val="24"/>
          <w:highlight w:val="none"/>
        </w:rPr>
        <w:t>1. 提供投标报价编制人员的注册造价工程师证书扫描件或影印件；</w:t>
      </w:r>
    </w:p>
    <w:p>
      <w:pPr>
        <w:spacing w:line="560" w:lineRule="exact"/>
        <w:rPr>
          <w:rFonts w:ascii="宋体" w:hAnsi="宋体"/>
          <w:color w:val="auto"/>
          <w:sz w:val="24"/>
          <w:highlight w:val="none"/>
        </w:rPr>
      </w:pPr>
      <w:r>
        <w:rPr>
          <w:rFonts w:hint="eastAsia" w:ascii="宋体" w:hAnsi="宋体"/>
          <w:color w:val="auto"/>
          <w:sz w:val="24"/>
          <w:highlight w:val="none"/>
        </w:rPr>
        <w:t>2. 若投标报价编制人员为投标人委托的造价咨询单位注册造价人员，须提供与造价咨询单位签订的委托协议。</w:t>
      </w:r>
    </w:p>
    <w:p>
      <w:pPr>
        <w:spacing w:line="560" w:lineRule="exact"/>
        <w:rPr>
          <w:rFonts w:ascii="宋体" w:hAnsi="宋体"/>
          <w:color w:val="auto"/>
          <w:sz w:val="24"/>
          <w:highlight w:val="none"/>
        </w:rPr>
      </w:pPr>
      <w:r>
        <w:rPr>
          <w:rFonts w:hint="eastAsia" w:ascii="宋体" w:hAnsi="宋体"/>
          <w:color w:val="auto"/>
          <w:sz w:val="24"/>
          <w:highlight w:val="none"/>
        </w:rPr>
        <w:t>3. 表格内容将作为公安机关和行政主管部门调查串通投标、允许他人以自己名义从事工程造价业务等违法违规行为的重要依据。</w:t>
      </w:r>
    </w:p>
    <w:p>
      <w:pPr>
        <w:spacing w:line="560" w:lineRule="exact"/>
        <w:rPr>
          <w:rFonts w:ascii="宋体" w:hAnsi="宋体"/>
          <w:color w:val="auto"/>
          <w:sz w:val="24"/>
          <w:highlight w:val="none"/>
        </w:rPr>
      </w:pPr>
      <w:r>
        <w:rPr>
          <w:rFonts w:hint="eastAsia" w:ascii="宋体" w:hAnsi="宋体"/>
          <w:color w:val="auto"/>
          <w:sz w:val="24"/>
          <w:highlight w:val="none"/>
        </w:rPr>
        <w:t>4. 投标人填写内容务必真实准确，否则将承担投标失败、中标无效的风险。</w:t>
      </w:r>
    </w:p>
    <w:p>
      <w:pPr>
        <w:spacing w:line="560" w:lineRule="exact"/>
        <w:rPr>
          <w:rFonts w:ascii="宋体" w:hAnsi="宋体"/>
          <w:color w:val="auto"/>
          <w:sz w:val="24"/>
          <w:highlight w:val="none"/>
        </w:rPr>
      </w:pPr>
    </w:p>
    <w:p>
      <w:pPr>
        <w:spacing w:line="560" w:lineRule="exact"/>
        <w:rPr>
          <w:rFonts w:ascii="宋体" w:hAnsi="宋体"/>
          <w:color w:val="auto"/>
          <w:sz w:val="24"/>
          <w:highlight w:val="none"/>
        </w:rPr>
      </w:pPr>
    </w:p>
    <w:p>
      <w:pPr>
        <w:spacing w:line="560" w:lineRule="exact"/>
        <w:ind w:firstLine="480" w:firstLineChars="200"/>
        <w:rPr>
          <w:rFonts w:ascii="宋体" w:hAnsi="宋体"/>
          <w:color w:val="auto"/>
          <w:sz w:val="24"/>
          <w:highlight w:val="none"/>
        </w:rPr>
      </w:pPr>
      <w:r>
        <w:rPr>
          <w:rFonts w:hint="eastAsia" w:ascii="宋体" w:hAnsi="宋体"/>
          <w:color w:val="auto"/>
          <w:sz w:val="24"/>
          <w:highlight w:val="none"/>
        </w:rPr>
        <w:t>③工程量清单报价书正文格式：见2018版“工程量清单计价文件”格式，在滁州市公共资源交易中心网站下载招标文件后，使用投标文件制作工具导出“招标清单文件”，即为“工程量清单计价文件”正文格式。</w:t>
      </w:r>
    </w:p>
    <w:p>
      <w:pPr>
        <w:pStyle w:val="8"/>
        <w:adjustRightInd w:val="0"/>
        <w:snapToGrid w:val="0"/>
        <w:spacing w:before="0" w:after="0" w:line="560" w:lineRule="exact"/>
        <w:jc w:val="center"/>
        <w:rPr>
          <w:rFonts w:hint="eastAsia"/>
          <w:color w:val="auto"/>
          <w:highlight w:val="none"/>
        </w:rPr>
      </w:pPr>
      <w:bookmarkStart w:id="918" w:name="_Toc95223546"/>
    </w:p>
    <w:bookmarkEnd w:id="918"/>
    <w:p>
      <w:pPr>
        <w:rPr>
          <w:rFonts w:hint="eastAsia"/>
          <w:bCs/>
          <w:color w:val="auto"/>
          <w:szCs w:val="32"/>
          <w:highlight w:val="none"/>
        </w:rPr>
      </w:pPr>
      <w:r>
        <w:rPr>
          <w:rFonts w:hint="eastAsia"/>
          <w:bCs/>
          <w:color w:val="auto"/>
          <w:szCs w:val="32"/>
          <w:highlight w:val="none"/>
        </w:rPr>
        <w:br w:type="page"/>
      </w:r>
    </w:p>
    <w:p>
      <w:pPr>
        <w:pStyle w:val="44"/>
        <w:spacing w:beforeLines="50" w:afterLines="50" w:line="440" w:lineRule="exact"/>
        <w:rPr>
          <w:bCs/>
          <w:color w:val="auto"/>
          <w:szCs w:val="32"/>
          <w:highlight w:val="none"/>
        </w:rPr>
      </w:pPr>
      <w:r>
        <w:rPr>
          <w:rFonts w:hint="eastAsia"/>
          <w:bCs/>
          <w:color w:val="auto"/>
          <w:szCs w:val="32"/>
          <w:highlight w:val="none"/>
        </w:rPr>
        <w:t>第</w:t>
      </w:r>
      <w:r>
        <w:rPr>
          <w:rFonts w:hint="eastAsia"/>
          <w:bCs/>
          <w:color w:val="auto"/>
          <w:szCs w:val="32"/>
          <w:highlight w:val="none"/>
          <w:lang w:val="en-US" w:eastAsia="zh-CN"/>
        </w:rPr>
        <w:t>十</w:t>
      </w:r>
      <w:r>
        <w:rPr>
          <w:rFonts w:hint="eastAsia"/>
          <w:bCs/>
          <w:color w:val="auto"/>
          <w:szCs w:val="32"/>
          <w:highlight w:val="none"/>
        </w:rPr>
        <w:t>章  招标单位、招标代理机构对本招标文件的确认</w:t>
      </w:r>
      <w:bookmarkEnd w:id="917"/>
    </w:p>
    <w:p>
      <w:pPr>
        <w:pStyle w:val="20"/>
        <w:rPr>
          <w:color w:val="auto"/>
          <w:highlight w:val="none"/>
        </w:rPr>
      </w:pPr>
    </w:p>
    <w:tbl>
      <w:tblPr>
        <w:tblStyle w:val="47"/>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9" w:hRule="atLeast"/>
          <w:jc w:val="center"/>
        </w:trPr>
        <w:tc>
          <w:tcPr>
            <w:tcW w:w="9580" w:type="dxa"/>
            <w:noWrap/>
          </w:tcPr>
          <w:p>
            <w:pPr>
              <w:wordWrap w:val="0"/>
              <w:adjustRightInd w:val="0"/>
              <w:snapToGrid w:val="0"/>
              <w:spacing w:line="560" w:lineRule="exact"/>
              <w:rPr>
                <w:color w:val="auto"/>
                <w:sz w:val="30"/>
                <w:highlight w:val="none"/>
              </w:rPr>
            </w:pPr>
          </w:p>
          <w:p>
            <w:pPr>
              <w:wordWrap w:val="0"/>
              <w:spacing w:line="560" w:lineRule="exact"/>
              <w:ind w:firstLine="560" w:firstLineChars="200"/>
              <w:rPr>
                <w:color w:val="auto"/>
                <w:sz w:val="28"/>
                <w:szCs w:val="28"/>
                <w:highlight w:val="none"/>
              </w:rPr>
            </w:pPr>
            <w:r>
              <w:rPr>
                <w:rFonts w:hint="eastAsia"/>
                <w:color w:val="auto"/>
                <w:sz w:val="28"/>
                <w:szCs w:val="28"/>
                <w:highlight w:val="none"/>
              </w:rPr>
              <w:t>我单位对</w:t>
            </w:r>
            <w:r>
              <w:rPr>
                <w:rFonts w:hint="eastAsia"/>
                <w:color w:val="auto"/>
                <w:sz w:val="28"/>
                <w:szCs w:val="28"/>
                <w:highlight w:val="none"/>
                <w:u w:val="single"/>
              </w:rPr>
              <w:t xml:space="preserve"> </w:t>
            </w:r>
            <w:r>
              <w:rPr>
                <w:rFonts w:hint="eastAsia"/>
                <w:color w:val="auto"/>
                <w:sz w:val="28"/>
                <w:szCs w:val="28"/>
                <w:highlight w:val="none"/>
                <w:u w:val="single"/>
                <w:lang w:eastAsia="zh-CN"/>
              </w:rPr>
              <w:t>安徽扬子投资发展有限公司扬子现代产业园屋面钢结构防火涂料施工项目</w:t>
            </w:r>
            <w:r>
              <w:rPr>
                <w:rFonts w:hint="eastAsia"/>
                <w:color w:val="auto"/>
                <w:sz w:val="28"/>
                <w:szCs w:val="28"/>
                <w:highlight w:val="none"/>
                <w:u w:val="single"/>
              </w:rPr>
              <w:t xml:space="preserve"> </w:t>
            </w:r>
            <w:r>
              <w:rPr>
                <w:rFonts w:hint="eastAsia"/>
                <w:color w:val="auto"/>
                <w:sz w:val="28"/>
                <w:szCs w:val="28"/>
                <w:highlight w:val="none"/>
              </w:rPr>
              <w:t>的招标文件进行确认。</w:t>
            </w:r>
          </w:p>
          <w:p>
            <w:pPr>
              <w:widowControl/>
              <w:spacing w:line="360" w:lineRule="auto"/>
              <w:ind w:firstLine="560" w:firstLineChars="200"/>
              <w:jc w:val="left"/>
              <w:rPr>
                <w:rFonts w:hint="eastAsia" w:ascii="宋体" w:hAnsi="宋体"/>
                <w:color w:val="auto"/>
                <w:sz w:val="28"/>
                <w:szCs w:val="28"/>
                <w:highlight w:val="none"/>
              </w:rPr>
            </w:pPr>
            <w:r>
              <w:rPr>
                <w:rFonts w:hint="eastAsia" w:ascii="宋体" w:hAnsi="宋体"/>
                <w:color w:val="auto"/>
                <w:sz w:val="28"/>
                <w:szCs w:val="28"/>
                <w:highlight w:val="none"/>
                <w:lang w:val="en-US" w:eastAsia="zh-CN"/>
              </w:rPr>
              <w:t>招标人</w:t>
            </w:r>
            <w:r>
              <w:rPr>
                <w:rFonts w:hint="eastAsia" w:ascii="宋体" w:hAnsi="宋体"/>
                <w:color w:val="auto"/>
                <w:sz w:val="28"/>
                <w:szCs w:val="28"/>
                <w:highlight w:val="none"/>
              </w:rPr>
              <w:t>：</w:t>
            </w:r>
            <w:r>
              <w:rPr>
                <w:rFonts w:hint="eastAsia" w:ascii="宋体" w:hAnsi="宋体"/>
                <w:color w:val="auto"/>
                <w:sz w:val="28"/>
                <w:szCs w:val="28"/>
                <w:highlight w:val="none"/>
                <w:lang w:eastAsia="zh-CN"/>
              </w:rPr>
              <w:t>安徽扬子投资发展有限公司</w:t>
            </w:r>
            <w:r>
              <w:rPr>
                <w:rFonts w:hint="eastAsia" w:ascii="宋体" w:hAnsi="宋体"/>
                <w:color w:val="auto"/>
                <w:sz w:val="28"/>
                <w:szCs w:val="28"/>
                <w:highlight w:val="none"/>
              </w:rPr>
              <w:t xml:space="preserve">  </w:t>
            </w:r>
          </w:p>
          <w:p>
            <w:pPr>
              <w:adjustRightInd w:val="0"/>
              <w:snapToGrid w:val="0"/>
              <w:spacing w:line="560" w:lineRule="exact"/>
              <w:ind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联 系 人：</w:t>
            </w:r>
            <w:r>
              <w:rPr>
                <w:rFonts w:hint="eastAsia" w:ascii="宋体" w:hAnsi="宋体" w:cs="Times New Roman"/>
                <w:color w:val="auto"/>
                <w:sz w:val="28"/>
                <w:szCs w:val="28"/>
                <w:highlight w:val="none"/>
                <w:lang w:val="en-US" w:eastAsia="zh-CN"/>
              </w:rPr>
              <w:t>朱靖</w:t>
            </w:r>
            <w:r>
              <w:rPr>
                <w:rFonts w:hint="eastAsia" w:ascii="宋体" w:hAnsi="宋体" w:eastAsia="宋体" w:cs="Times New Roman"/>
                <w:color w:val="auto"/>
                <w:sz w:val="28"/>
                <w:szCs w:val="28"/>
                <w:highlight w:val="none"/>
              </w:rPr>
              <w:t xml:space="preserve"> </w:t>
            </w:r>
            <w:r>
              <w:rPr>
                <w:rFonts w:hint="eastAsia" w:ascii="宋体" w:hAnsi="宋体" w:eastAsia="宋体" w:cs="Times New Roman"/>
                <w:color w:val="auto"/>
                <w:sz w:val="28"/>
                <w:szCs w:val="28"/>
                <w:highlight w:val="none"/>
                <w:lang w:val="en-US" w:eastAsia="zh-CN"/>
              </w:rPr>
              <w:t xml:space="preserve"> </w:t>
            </w:r>
          </w:p>
          <w:p>
            <w:pPr>
              <w:spacing w:line="560" w:lineRule="exact"/>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联系电话：</w:t>
            </w:r>
            <w:r>
              <w:rPr>
                <w:rFonts w:hint="eastAsia" w:ascii="宋体" w:hAnsi="宋体" w:cs="宋体"/>
                <w:color w:val="auto"/>
                <w:sz w:val="28"/>
                <w:szCs w:val="28"/>
                <w:highlight w:val="none"/>
                <w:lang w:val="en-US" w:eastAsia="zh-CN"/>
              </w:rPr>
              <w:t>18255073362</w:t>
            </w:r>
          </w:p>
          <w:p>
            <w:pPr>
              <w:adjustRightInd w:val="0"/>
              <w:snapToGrid w:val="0"/>
              <w:spacing w:line="560" w:lineRule="exact"/>
              <w:ind w:firstLine="560" w:firstLineChars="200"/>
              <w:rPr>
                <w:rFonts w:hint="eastAsia" w:ascii="宋体" w:hAnsi="宋体" w:eastAsia="宋体" w:cs="Times New Roman"/>
                <w:color w:val="auto"/>
                <w:sz w:val="28"/>
                <w:szCs w:val="28"/>
                <w:highlight w:val="none"/>
                <w:lang w:val="en-US" w:eastAsia="zh-CN"/>
              </w:rPr>
            </w:pPr>
          </w:p>
          <w:p>
            <w:pPr>
              <w:wordWrap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 xml:space="preserve">    </w:t>
            </w:r>
            <w:r>
              <w:rPr>
                <w:rFonts w:hint="eastAsia" w:ascii="宋体" w:hAnsi="宋体"/>
                <w:color w:val="auto"/>
                <w:sz w:val="28"/>
                <w:szCs w:val="28"/>
                <w:highlight w:val="none"/>
                <w:lang w:val="en-US" w:eastAsia="zh-CN"/>
              </w:rPr>
              <w:t xml:space="preserve">    </w:t>
            </w:r>
          </w:p>
          <w:p>
            <w:pPr>
              <w:wordWrap w:val="0"/>
              <w:spacing w:line="560" w:lineRule="exact"/>
              <w:ind w:firstLine="560" w:firstLineChars="200"/>
              <w:rPr>
                <w:rFonts w:ascii="宋体" w:hAnsi="宋体"/>
                <w:color w:val="auto"/>
                <w:sz w:val="28"/>
                <w:szCs w:val="28"/>
                <w:highlight w:val="none"/>
              </w:rPr>
            </w:pPr>
          </w:p>
          <w:p>
            <w:pPr>
              <w:wordWrap w:val="0"/>
              <w:spacing w:line="560" w:lineRule="exact"/>
              <w:ind w:firstLine="560" w:firstLineChars="200"/>
              <w:rPr>
                <w:rFonts w:ascii="宋体" w:hAnsi="宋体"/>
                <w:color w:val="auto"/>
                <w:sz w:val="28"/>
                <w:szCs w:val="28"/>
                <w:highlight w:val="none"/>
              </w:rPr>
            </w:pPr>
          </w:p>
          <w:p>
            <w:pPr>
              <w:wordWrap w:val="0"/>
              <w:spacing w:line="560" w:lineRule="exact"/>
              <w:ind w:firstLine="5740" w:firstLineChars="2050"/>
              <w:rPr>
                <w:rFonts w:ascii="宋体" w:hAnsi="宋体"/>
                <w:color w:val="auto"/>
                <w:sz w:val="28"/>
                <w:szCs w:val="28"/>
                <w:highlight w:val="none"/>
              </w:rPr>
            </w:pPr>
            <w:r>
              <w:rPr>
                <w:rFonts w:hint="eastAsia" w:ascii="宋体" w:hAnsi="宋体"/>
                <w:color w:val="auto"/>
                <w:sz w:val="28"/>
                <w:szCs w:val="28"/>
                <w:highlight w:val="none"/>
              </w:rPr>
              <w:t>（单位盖章）</w:t>
            </w:r>
          </w:p>
          <w:p>
            <w:pPr>
              <w:spacing w:line="560" w:lineRule="exact"/>
              <w:ind w:firstLine="5880" w:firstLineChars="2100"/>
              <w:rPr>
                <w:rFonts w:hint="eastAsia" w:ascii="宋体" w:hAnsi="宋体" w:eastAsia="宋体"/>
                <w:color w:val="auto"/>
                <w:sz w:val="28"/>
                <w:szCs w:val="28"/>
                <w:highlight w:val="none"/>
                <w:lang w:eastAsia="zh-CN"/>
              </w:rPr>
            </w:pPr>
            <w:r>
              <w:rPr>
                <w:rFonts w:hint="eastAsia" w:ascii="宋体" w:hAnsi="宋体"/>
                <w:color w:val="auto"/>
                <w:sz w:val="28"/>
                <w:szCs w:val="28"/>
                <w:highlight w:val="none"/>
                <w:lang w:eastAsia="zh-CN"/>
              </w:rPr>
              <w:t>2025年8月</w:t>
            </w:r>
          </w:p>
          <w:p>
            <w:pPr>
              <w:pStyle w:val="2"/>
              <w:ind w:firstLine="420"/>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6" w:hRule="atLeast"/>
          <w:jc w:val="center"/>
        </w:trPr>
        <w:tc>
          <w:tcPr>
            <w:tcW w:w="9580" w:type="dxa"/>
            <w:noWrap/>
          </w:tcPr>
          <w:p>
            <w:pPr>
              <w:spacing w:line="560" w:lineRule="exact"/>
              <w:ind w:firstLine="560" w:firstLineChars="200"/>
              <w:rPr>
                <w:rFonts w:ascii="宋体" w:hAnsi="宋体" w:cs="宋体"/>
                <w:color w:val="auto"/>
                <w:sz w:val="28"/>
                <w:szCs w:val="28"/>
                <w:highlight w:val="none"/>
              </w:rPr>
            </w:pPr>
          </w:p>
          <w:p>
            <w:pPr>
              <w:spacing w:line="56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招标代理机构：</w:t>
            </w:r>
            <w:r>
              <w:rPr>
                <w:rFonts w:hint="eastAsia"/>
                <w:color w:val="auto"/>
                <w:sz w:val="28"/>
                <w:szCs w:val="28"/>
                <w:highlight w:val="none"/>
              </w:rPr>
              <w:t>滁州市城投工程咨询管理有限公司</w:t>
            </w:r>
          </w:p>
          <w:p>
            <w:pPr>
              <w:spacing w:line="560" w:lineRule="exact"/>
              <w:ind w:firstLine="560" w:firstLineChars="200"/>
              <w:rPr>
                <w:rFonts w:hint="default" w:ascii="宋体" w:hAnsi="宋体" w:eastAsia="宋体" w:cs="宋体"/>
                <w:color w:val="auto"/>
                <w:sz w:val="28"/>
                <w:szCs w:val="28"/>
                <w:highlight w:val="none"/>
                <w:u w:val="single"/>
                <w:lang w:val="en-US" w:eastAsia="zh-CN"/>
              </w:rPr>
            </w:pPr>
            <w:r>
              <w:rPr>
                <w:rFonts w:hint="eastAsia" w:ascii="宋体" w:hAnsi="宋体" w:cs="宋体"/>
                <w:color w:val="auto"/>
                <w:sz w:val="28"/>
                <w:szCs w:val="28"/>
                <w:highlight w:val="none"/>
              </w:rPr>
              <w:t>联 系 人：</w:t>
            </w:r>
            <w:r>
              <w:rPr>
                <w:rFonts w:hint="eastAsia" w:ascii="宋体" w:hAnsi="宋体" w:cs="宋体"/>
                <w:color w:val="auto"/>
                <w:sz w:val="28"/>
                <w:szCs w:val="28"/>
                <w:highlight w:val="none"/>
                <w:lang w:val="en-US" w:eastAsia="zh-CN"/>
              </w:rPr>
              <w:t>周晓培</w:t>
            </w:r>
          </w:p>
          <w:p>
            <w:pPr>
              <w:spacing w:line="56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eastAsia="zh-CN"/>
              </w:rPr>
              <w:t>0550-3519512</w:t>
            </w:r>
            <w:r>
              <w:rPr>
                <w:rFonts w:hint="eastAsia" w:ascii="宋体" w:hAnsi="宋体" w:cs="宋体"/>
                <w:color w:val="auto"/>
                <w:sz w:val="28"/>
                <w:szCs w:val="28"/>
                <w:highlight w:val="none"/>
              </w:rPr>
              <w:t>、</w:t>
            </w:r>
            <w:r>
              <w:rPr>
                <w:rFonts w:hint="eastAsia" w:ascii="宋体" w:hAnsi="宋体" w:cs="宋体"/>
                <w:color w:val="auto"/>
                <w:sz w:val="28"/>
                <w:szCs w:val="28"/>
                <w:highlight w:val="none"/>
                <w:lang w:eastAsia="zh-CN"/>
              </w:rPr>
              <w:t>18255055896</w:t>
            </w:r>
          </w:p>
          <w:p>
            <w:pPr>
              <w:spacing w:line="560" w:lineRule="exact"/>
              <w:ind w:firstLine="5040" w:firstLineChars="1800"/>
              <w:rPr>
                <w:rFonts w:ascii="宋体" w:hAnsi="宋体" w:cs="宋体"/>
                <w:color w:val="auto"/>
                <w:sz w:val="28"/>
                <w:szCs w:val="28"/>
                <w:highlight w:val="none"/>
              </w:rPr>
            </w:pPr>
          </w:p>
          <w:p>
            <w:pPr>
              <w:spacing w:line="560" w:lineRule="exact"/>
              <w:ind w:firstLine="5460" w:firstLineChars="1950"/>
              <w:rPr>
                <w:rFonts w:ascii="宋体" w:hAnsi="宋体" w:cs="宋体"/>
                <w:color w:val="auto"/>
                <w:sz w:val="28"/>
                <w:szCs w:val="28"/>
                <w:highlight w:val="none"/>
              </w:rPr>
            </w:pPr>
          </w:p>
          <w:p>
            <w:pPr>
              <w:spacing w:line="560" w:lineRule="exact"/>
              <w:ind w:firstLine="5880" w:firstLineChars="2100"/>
              <w:rPr>
                <w:rFonts w:ascii="宋体" w:hAnsi="宋体" w:cs="宋体"/>
                <w:color w:val="auto"/>
                <w:sz w:val="28"/>
                <w:szCs w:val="28"/>
                <w:highlight w:val="none"/>
              </w:rPr>
            </w:pPr>
            <w:r>
              <w:rPr>
                <w:rFonts w:hint="eastAsia" w:ascii="宋体" w:hAnsi="宋体" w:cs="宋体"/>
                <w:color w:val="auto"/>
                <w:sz w:val="28"/>
                <w:szCs w:val="28"/>
                <w:highlight w:val="none"/>
              </w:rPr>
              <w:t>（单位盖章）</w:t>
            </w:r>
          </w:p>
          <w:p>
            <w:pPr>
              <w:spacing w:line="560" w:lineRule="exact"/>
              <w:ind w:firstLine="6020" w:firstLineChars="2150"/>
              <w:rPr>
                <w:rFonts w:hint="eastAsia" w:ascii="宋体" w:hAnsi="宋体" w:eastAsia="宋体"/>
                <w:color w:val="auto"/>
                <w:sz w:val="28"/>
                <w:szCs w:val="28"/>
                <w:highlight w:val="none"/>
                <w:lang w:eastAsia="zh-CN"/>
              </w:rPr>
            </w:pPr>
            <w:r>
              <w:rPr>
                <w:rFonts w:hint="eastAsia" w:ascii="宋体" w:hAnsi="宋体"/>
                <w:color w:val="auto"/>
                <w:sz w:val="28"/>
                <w:szCs w:val="28"/>
                <w:highlight w:val="none"/>
                <w:lang w:eastAsia="zh-CN"/>
              </w:rPr>
              <w:t>2025年8月</w:t>
            </w:r>
          </w:p>
          <w:p>
            <w:pPr>
              <w:pStyle w:val="2"/>
              <w:ind w:firstLine="420"/>
              <w:rPr>
                <w:color w:val="auto"/>
                <w:highlight w:val="none"/>
              </w:rPr>
            </w:pPr>
          </w:p>
        </w:tc>
      </w:tr>
    </w:tbl>
    <w:p>
      <w:pPr>
        <w:rPr>
          <w:color w:val="auto"/>
          <w:highlight w:val="none"/>
        </w:rPr>
      </w:pPr>
      <w:r>
        <w:rPr>
          <w:color w:val="auto"/>
          <w:highlight w:val="none"/>
        </w:rPr>
        <w:br w:type="page"/>
      </w:r>
    </w:p>
    <w:p>
      <w:pPr>
        <w:keepNext/>
        <w:keepLines/>
        <w:spacing w:before="200" w:after="200" w:line="600" w:lineRule="exact"/>
        <w:outlineLvl w:val="0"/>
        <w:rPr>
          <w:rFonts w:ascii="黑体" w:hAnsi="黑体" w:eastAsia="黑体"/>
          <w:b/>
          <w:bCs/>
          <w:color w:val="auto"/>
          <w:kern w:val="44"/>
          <w:sz w:val="28"/>
          <w:szCs w:val="28"/>
          <w:highlight w:val="none"/>
        </w:rPr>
      </w:pPr>
      <w:bookmarkStart w:id="919" w:name="OLE_LINK24"/>
      <w:bookmarkStart w:id="920" w:name="OLE_LINK25"/>
      <w:r>
        <w:rPr>
          <w:rFonts w:hint="eastAsia" w:ascii="黑体" w:hAnsi="黑体" w:eastAsia="黑体"/>
          <w:b/>
          <w:bCs/>
          <w:color w:val="auto"/>
          <w:kern w:val="44"/>
          <w:sz w:val="36"/>
          <w:szCs w:val="28"/>
          <w:highlight w:val="none"/>
        </w:rPr>
        <w:t>附件1 关于联合惩戒失信行为加强信用查询管理的通知</w:t>
      </w:r>
    </w:p>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一、失信行为联合惩戒的范围和查询渠道</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在我市公共资源交易活动中对存在下列失信行为的投标人、法定代表人及其项目经理（建造师）实施联合惩戒，禁止参与我市公共资源交易活动。</w:t>
      </w:r>
    </w:p>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（一）工程建设项目</w:t>
      </w:r>
    </w:p>
    <w:bookmarkEnd w:id="919"/>
    <w:bookmarkEnd w:id="920"/>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1、“信用中国”网站（www.creditchina.gov.cn）查询</w:t>
      </w:r>
      <w:bookmarkStart w:id="921" w:name="OLE_LINK92"/>
      <w:bookmarkStart w:id="922" w:name="OLE_LINK103"/>
      <w:bookmarkStart w:id="923" w:name="OLE_LINK91"/>
      <w:bookmarkStart w:id="924" w:name="OLE_LINK93"/>
      <w:r>
        <w:rPr>
          <w:rFonts w:hint="eastAsia" w:ascii="仿宋_GB2312" w:hAnsi="宋体" w:eastAsia="仿宋_GB2312"/>
          <w:color w:val="auto"/>
          <w:sz w:val="28"/>
          <w:szCs w:val="28"/>
          <w:highlight w:val="none"/>
        </w:rPr>
        <w:t>投标人、法定代表人及其项目经理(建造师)</w:t>
      </w:r>
      <w:bookmarkEnd w:id="921"/>
      <w:bookmarkEnd w:id="922"/>
      <w:bookmarkEnd w:id="923"/>
      <w:bookmarkEnd w:id="924"/>
      <w:r>
        <w:rPr>
          <w:rFonts w:hint="eastAsia" w:ascii="仿宋_GB2312" w:hAnsi="宋体" w:eastAsia="仿宋_GB2312"/>
          <w:color w:val="auto"/>
          <w:sz w:val="28"/>
          <w:szCs w:val="28"/>
          <w:highlight w:val="none"/>
        </w:rPr>
        <w:t>以下失信行为：</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bookmarkStart w:id="925" w:name="OLE_LINK21"/>
      <w:bookmarkStart w:id="926" w:name="OLE_LINK94"/>
      <w:bookmarkStart w:id="927" w:name="OLE_LINK86"/>
      <w:bookmarkStart w:id="928" w:name="OLE_LINK87"/>
      <w:bookmarkStart w:id="929" w:name="OLE_LINK119"/>
      <w:r>
        <w:rPr>
          <w:rFonts w:hint="eastAsia" w:ascii="仿宋_GB2312" w:hAnsi="宋体" w:eastAsia="仿宋_GB2312"/>
          <w:color w:val="auto"/>
          <w:sz w:val="28"/>
          <w:szCs w:val="28"/>
          <w:highlight w:val="none"/>
        </w:rPr>
        <w:t>①被列入“失信被执行人”的;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②被列入</w:t>
      </w:r>
      <w:bookmarkStart w:id="930" w:name="OLE_LINK117"/>
      <w:bookmarkStart w:id="931" w:name="OLE_LINK115"/>
      <w:bookmarkStart w:id="932" w:name="OLE_LINK116"/>
      <w:bookmarkStart w:id="933" w:name="OLE_LINK118"/>
      <w:r>
        <w:rPr>
          <w:rFonts w:hint="eastAsia" w:ascii="仿宋_GB2312" w:hAnsi="宋体" w:eastAsia="仿宋_GB2312"/>
          <w:color w:val="auto"/>
          <w:sz w:val="28"/>
          <w:szCs w:val="28"/>
          <w:highlight w:val="none"/>
        </w:rPr>
        <w:t>“重大税收违法失信主体”</w:t>
      </w:r>
      <w:bookmarkEnd w:id="930"/>
      <w:bookmarkEnd w:id="931"/>
      <w:bookmarkEnd w:id="932"/>
      <w:bookmarkEnd w:id="933"/>
      <w:r>
        <w:rPr>
          <w:rFonts w:hint="eastAsia" w:ascii="仿宋_GB2312" w:hAnsi="宋体" w:eastAsia="仿宋_GB2312"/>
          <w:color w:val="auto"/>
          <w:sz w:val="28"/>
          <w:szCs w:val="28"/>
          <w:highlight w:val="none"/>
        </w:rPr>
        <w:t>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③被列入“拖欠</w:t>
      </w:r>
      <w:bookmarkStart w:id="934" w:name="OLE_LINK84"/>
      <w:bookmarkStart w:id="935" w:name="OLE_LINK85"/>
      <w:r>
        <w:rPr>
          <w:rFonts w:hint="eastAsia" w:ascii="仿宋_GB2312" w:hAnsi="宋体" w:eastAsia="仿宋_GB2312"/>
          <w:color w:val="auto"/>
          <w:sz w:val="28"/>
          <w:szCs w:val="28"/>
          <w:highlight w:val="none"/>
        </w:rPr>
        <w:t>农民工工资失信联合惩戒对象</w:t>
      </w:r>
      <w:bookmarkEnd w:id="934"/>
      <w:bookmarkEnd w:id="935"/>
      <w:r>
        <w:rPr>
          <w:rFonts w:hint="eastAsia" w:ascii="仿宋_GB2312" w:hAnsi="宋体" w:eastAsia="仿宋_GB2312"/>
          <w:color w:val="auto"/>
          <w:sz w:val="28"/>
          <w:szCs w:val="28"/>
          <w:highlight w:val="none"/>
        </w:rPr>
        <w:t>名单”的；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④被列入 “严重失信主体名单”的；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⑤在“信用中国”网站上披露的仍在公示期的严重失信行为(具体行为类别及判定依据见附件2)的。</w:t>
      </w:r>
    </w:p>
    <w:bookmarkEnd w:id="925"/>
    <w:bookmarkEnd w:id="926"/>
    <w:bookmarkEnd w:id="927"/>
    <w:bookmarkEnd w:id="928"/>
    <w:bookmarkEnd w:id="929"/>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w:t>
      </w:r>
      <w:bookmarkStart w:id="936" w:name="OLE_LINK130"/>
      <w:r>
        <w:rPr>
          <w:rFonts w:hint="eastAsia" w:ascii="仿宋_GB2312" w:hAnsi="宋体" w:eastAsia="仿宋_GB2312"/>
          <w:color w:val="auto"/>
          <w:sz w:val="28"/>
          <w:szCs w:val="28"/>
          <w:highlight w:val="none"/>
        </w:rPr>
        <w:t>国家企业信用信息公示系统网站</w:t>
      </w:r>
      <w:bookmarkEnd w:id="936"/>
      <w:r>
        <w:rPr>
          <w:rFonts w:hint="eastAsia" w:ascii="仿宋_GB2312" w:hAnsi="宋体" w:eastAsia="仿宋_GB2312"/>
          <w:color w:val="auto"/>
          <w:sz w:val="28"/>
          <w:szCs w:val="28"/>
          <w:highlight w:val="none"/>
        </w:rPr>
        <w:t>（</w:t>
      </w:r>
      <w:r>
        <w:rPr>
          <w:color w:val="auto"/>
          <w:highlight w:val="none"/>
        </w:rPr>
        <w:fldChar w:fldCharType="begin"/>
      </w:r>
      <w:r>
        <w:rPr>
          <w:color w:val="auto"/>
          <w:highlight w:val="none"/>
        </w:rPr>
        <w:instrText xml:space="preserve"> </w:instrText>
      </w:r>
      <w:r>
        <w:rPr>
          <w:rFonts w:hint="eastAsia"/>
          <w:color w:val="auto"/>
          <w:highlight w:val="none"/>
        </w:rPr>
        <w:instrText xml:space="preserve">HYPERLINK "http://www.gsxt.gov.cn）查询"</w:instrText>
      </w:r>
      <w:r>
        <w:rPr>
          <w:color w:val="auto"/>
          <w:highlight w:val="none"/>
        </w:rPr>
        <w:instrText xml:space="preserve"> </w:instrText>
      </w:r>
      <w:r>
        <w:rPr>
          <w:color w:val="auto"/>
          <w:highlight w:val="none"/>
        </w:rPr>
        <w:fldChar w:fldCharType="separate"/>
      </w:r>
      <w:bookmarkStart w:id="937" w:name="OLE_LINK90"/>
      <w:bookmarkStart w:id="938" w:name="OLE_LINK89"/>
      <w:r>
        <w:rPr>
          <w:rStyle w:val="58"/>
          <w:rFonts w:hint="eastAsia" w:ascii="仿宋_GB2312" w:hAnsi="宋体" w:eastAsia="仿宋_GB2312"/>
          <w:color w:val="auto"/>
          <w:sz w:val="28"/>
          <w:szCs w:val="28"/>
          <w:highlight w:val="none"/>
        </w:rPr>
        <w:t>www.gsxt.gov.cn</w:t>
      </w:r>
      <w:bookmarkEnd w:id="937"/>
      <w:bookmarkEnd w:id="938"/>
      <w:r>
        <w:rPr>
          <w:rStyle w:val="58"/>
          <w:rFonts w:hint="eastAsia" w:ascii="仿宋_GB2312" w:hAnsi="宋体" w:eastAsia="仿宋_GB2312"/>
          <w:color w:val="auto"/>
          <w:sz w:val="28"/>
          <w:szCs w:val="28"/>
          <w:highlight w:val="none"/>
        </w:rPr>
        <w:t>）</w:t>
      </w:r>
      <w:r>
        <w:rPr>
          <w:color w:val="auto"/>
          <w:highlight w:val="none"/>
        </w:rPr>
        <w:fldChar w:fldCharType="end"/>
      </w:r>
      <w:r>
        <w:rPr>
          <w:rFonts w:hint="eastAsia" w:ascii="仿宋_GB2312" w:hAnsi="宋体" w:eastAsia="仿宋_GB2312"/>
          <w:color w:val="auto"/>
          <w:sz w:val="28"/>
          <w:szCs w:val="28"/>
          <w:highlight w:val="none"/>
        </w:rPr>
        <w:t>查询投标人以下失信行为：</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bookmarkStart w:id="939" w:name="OLE_LINK121"/>
      <w:bookmarkStart w:id="940" w:name="OLE_LINK120"/>
      <w:bookmarkStart w:id="941" w:name="OLE_LINK122"/>
      <w:r>
        <w:rPr>
          <w:rFonts w:hint="eastAsia" w:ascii="仿宋_GB2312" w:hAnsi="宋体" w:eastAsia="仿宋_GB2312"/>
          <w:color w:val="auto"/>
          <w:sz w:val="28"/>
          <w:szCs w:val="28"/>
          <w:highlight w:val="none"/>
        </w:rPr>
        <w:t>①被列入“经营异常名录”或者“严重违法失信名单”的。</w:t>
      </w:r>
      <w:bookmarkEnd w:id="939"/>
      <w:bookmarkEnd w:id="940"/>
      <w:bookmarkEnd w:id="941"/>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3、由</w:t>
      </w:r>
      <w:r>
        <w:rPr>
          <w:rFonts w:hint="eastAsia" w:ascii="仿宋_GB2312" w:hAnsi="宋体" w:eastAsia="仿宋_GB2312"/>
          <w:color w:val="auto"/>
          <w:kern w:val="0"/>
          <w:sz w:val="28"/>
          <w:szCs w:val="28"/>
          <w:highlight w:val="none"/>
        </w:rPr>
        <w:t>投标人、法定代表人及其项目经理(建造师)</w:t>
      </w:r>
      <w:r>
        <w:rPr>
          <w:rFonts w:hint="eastAsia" w:ascii="仿宋_GB2312" w:hAnsi="宋体" w:eastAsia="仿宋_GB2312"/>
          <w:color w:val="auto"/>
          <w:sz w:val="28"/>
          <w:szCs w:val="28"/>
          <w:highlight w:val="none"/>
        </w:rPr>
        <w:t>进行承诺，不进行现场网上信用查询的失信行为：</w:t>
      </w:r>
    </w:p>
    <w:p>
      <w:pPr>
        <w:adjustRightInd w:val="0"/>
        <w:snapToGrid w:val="0"/>
        <w:spacing w:line="560" w:lineRule="exact"/>
        <w:ind w:firstLine="560" w:firstLineChars="200"/>
        <w:rPr>
          <w:rFonts w:hint="eastAsia" w:ascii="仿宋_GB2312" w:hAnsi="宋体" w:eastAsia="仿宋_GB2312" w:cs="楷体"/>
          <w:color w:val="auto"/>
          <w:sz w:val="28"/>
          <w:szCs w:val="28"/>
          <w:highlight w:val="none"/>
        </w:rPr>
      </w:pPr>
      <w:bookmarkStart w:id="942" w:name="OLE_LINK124"/>
      <w:bookmarkStart w:id="943" w:name="OLE_LINK123"/>
      <w:r>
        <w:rPr>
          <w:rFonts w:hint="eastAsia" w:ascii="仿宋_GB2312" w:hAnsi="宋体" w:eastAsia="仿宋_GB2312"/>
          <w:color w:val="auto"/>
          <w:sz w:val="28"/>
          <w:szCs w:val="28"/>
          <w:highlight w:val="none"/>
        </w:rPr>
        <w:t>①</w:t>
      </w:r>
      <w:r>
        <w:rPr>
          <w:rFonts w:hint="eastAsia" w:ascii="仿宋_GB2312" w:hAnsi="宋体" w:eastAsia="仿宋_GB2312" w:cs="楷体"/>
          <w:color w:val="auto"/>
          <w:sz w:val="28"/>
          <w:szCs w:val="28"/>
          <w:highlight w:val="none"/>
        </w:rPr>
        <w:t>前三年有行贿犯罪行为的单位和个人；</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②被滁州市县两级公管部门取消在一定期限内的投标资格且在取消期限内的；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③被滁州市县两级各行业主管部门取消在一定期限内的投标资格且在取消期限内的；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④因拖欠农民工工资被</w:t>
      </w:r>
      <w:bookmarkStart w:id="944" w:name="OLE_LINK107"/>
      <w:bookmarkStart w:id="945" w:name="OLE_LINK108"/>
      <w:r>
        <w:rPr>
          <w:rFonts w:hint="eastAsia" w:ascii="仿宋_GB2312" w:hAnsi="宋体" w:eastAsia="仿宋_GB2312"/>
          <w:color w:val="auto"/>
          <w:sz w:val="28"/>
          <w:szCs w:val="28"/>
          <w:highlight w:val="none"/>
        </w:rPr>
        <w:t>县级及以上有关行政主管部门限制投标资格且在限制期限内的</w:t>
      </w:r>
      <w:bookmarkEnd w:id="944"/>
      <w:bookmarkEnd w:id="945"/>
      <w:r>
        <w:rPr>
          <w:rFonts w:hint="eastAsia" w:ascii="仿宋_GB2312" w:hAnsi="宋体" w:eastAsia="仿宋_GB2312"/>
          <w:color w:val="auto"/>
          <w:sz w:val="28"/>
          <w:szCs w:val="28"/>
          <w:highlight w:val="none"/>
        </w:rPr>
        <w:t>；</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⑤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bookmarkEnd w:id="942"/>
    <w:bookmarkEnd w:id="943"/>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（二）政府采购项目</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1、“信用中国”网站</w:t>
      </w:r>
      <w:r>
        <w:rPr>
          <w:rFonts w:hint="eastAsia" w:ascii="仿宋" w:hAnsi="仿宋" w:eastAsia="仿宋"/>
          <w:color w:val="auto"/>
          <w:sz w:val="28"/>
          <w:szCs w:val="28"/>
          <w:highlight w:val="none"/>
        </w:rPr>
        <w:t>（</w:t>
      </w:r>
      <w:r>
        <w:rPr>
          <w:rStyle w:val="58"/>
          <w:rFonts w:hint="eastAsia" w:ascii="仿宋" w:hAnsi="仿宋" w:eastAsia="仿宋"/>
          <w:color w:val="auto"/>
          <w:sz w:val="28"/>
          <w:szCs w:val="28"/>
          <w:highlight w:val="none"/>
        </w:rPr>
        <w:t>www.creditchina.gov.cn</w:t>
      </w:r>
      <w:r>
        <w:rPr>
          <w:rFonts w:hint="eastAsia" w:ascii="仿宋" w:hAnsi="仿宋" w:eastAsia="仿宋"/>
          <w:color w:val="auto"/>
          <w:sz w:val="28"/>
          <w:szCs w:val="28"/>
          <w:highlight w:val="none"/>
        </w:rPr>
        <w:t>）</w:t>
      </w:r>
      <w:r>
        <w:rPr>
          <w:rFonts w:hint="eastAsia" w:ascii="仿宋_GB2312" w:hAnsi="宋体" w:eastAsia="仿宋_GB2312"/>
          <w:color w:val="auto"/>
          <w:sz w:val="28"/>
          <w:szCs w:val="28"/>
          <w:highlight w:val="none"/>
        </w:rPr>
        <w:t>查询供应商、法定代表人及其项目负责人以下失信行为：</w:t>
      </w:r>
    </w:p>
    <w:p>
      <w:pPr>
        <w:adjustRightInd w:val="0"/>
        <w:snapToGrid w:val="0"/>
        <w:spacing w:line="560" w:lineRule="exact"/>
        <w:ind w:firstLine="560"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①被列入“失信被执行人”的;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②被列入“重大税收违法失信主体”的；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③被列入“拖欠农民工工资失信联合惩戒对象名单”的；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④被列入 “严重失信主体名单”的；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⑤在“信用中国”网站上披露的仍在公示期的严重失信行为(具体行为类别及判定依据见附件2)的。</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2、国家企业信用信息公示系统网站</w:t>
      </w:r>
      <w:r>
        <w:rPr>
          <w:rFonts w:hint="eastAsia" w:ascii="仿宋" w:hAnsi="仿宋" w:eastAsia="仿宋"/>
          <w:color w:val="auto"/>
          <w:sz w:val="28"/>
          <w:szCs w:val="28"/>
          <w:highlight w:val="none"/>
        </w:rPr>
        <w:t>（</w:t>
      </w:r>
      <w:r>
        <w:rPr>
          <w:color w:val="auto"/>
          <w:highlight w:val="none"/>
        </w:rPr>
        <w:fldChar w:fldCharType="begin"/>
      </w:r>
      <w:r>
        <w:rPr>
          <w:color w:val="auto"/>
          <w:highlight w:val="none"/>
        </w:rPr>
        <w:instrText xml:space="preserve"> </w:instrText>
      </w:r>
      <w:r>
        <w:rPr>
          <w:rFonts w:hint="eastAsia"/>
          <w:color w:val="auto"/>
          <w:highlight w:val="none"/>
        </w:rPr>
        <w:instrText xml:space="preserve">HYPERLINK "http://www.gsxt.gov.cn）查询"</w:instrText>
      </w:r>
      <w:r>
        <w:rPr>
          <w:color w:val="auto"/>
          <w:highlight w:val="none"/>
        </w:rPr>
        <w:instrText xml:space="preserve"> </w:instrText>
      </w:r>
      <w:r>
        <w:rPr>
          <w:color w:val="auto"/>
          <w:highlight w:val="none"/>
        </w:rPr>
        <w:fldChar w:fldCharType="separate"/>
      </w:r>
      <w:r>
        <w:rPr>
          <w:rStyle w:val="58"/>
          <w:rFonts w:hint="eastAsia" w:ascii="仿宋" w:hAnsi="仿宋" w:eastAsia="仿宋"/>
          <w:color w:val="auto"/>
          <w:sz w:val="28"/>
          <w:szCs w:val="28"/>
          <w:highlight w:val="none"/>
        </w:rPr>
        <w:t>www.gsxt.gov.cn）</w:t>
      </w:r>
      <w:r>
        <w:rPr>
          <w:color w:val="auto"/>
          <w:highlight w:val="none"/>
        </w:rPr>
        <w:fldChar w:fldCharType="end"/>
      </w:r>
      <w:r>
        <w:rPr>
          <w:rFonts w:hint="eastAsia" w:ascii="仿宋_GB2312" w:hAnsi="宋体" w:eastAsia="仿宋_GB2312"/>
          <w:color w:val="auto"/>
          <w:sz w:val="28"/>
          <w:szCs w:val="28"/>
          <w:highlight w:val="none"/>
        </w:rPr>
        <w:t>查询供应商以下失信行为：</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①</w:t>
      </w:r>
      <w:bookmarkStart w:id="946" w:name="OLE_LINK100"/>
      <w:bookmarkStart w:id="947" w:name="OLE_LINK102"/>
      <w:bookmarkStart w:id="948" w:name="OLE_LINK101"/>
      <w:r>
        <w:rPr>
          <w:rFonts w:hint="eastAsia" w:ascii="仿宋_GB2312" w:hAnsi="宋体" w:eastAsia="仿宋_GB2312"/>
          <w:color w:val="auto"/>
          <w:sz w:val="28"/>
          <w:szCs w:val="28"/>
          <w:highlight w:val="none"/>
        </w:rPr>
        <w:t>被列入“经营异常名录”或者“严重违法失信名单”的</w:t>
      </w:r>
      <w:bookmarkEnd w:id="946"/>
      <w:bookmarkEnd w:id="947"/>
      <w:bookmarkEnd w:id="948"/>
      <w:r>
        <w:rPr>
          <w:rFonts w:hint="eastAsia" w:ascii="仿宋_GB2312" w:hAnsi="宋体" w:eastAsia="仿宋_GB2312"/>
          <w:color w:val="auto"/>
          <w:sz w:val="28"/>
          <w:szCs w:val="28"/>
          <w:highlight w:val="none"/>
        </w:rPr>
        <w:t>。</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3、中国政府采购网站</w:t>
      </w:r>
      <w:r>
        <w:rPr>
          <w:rFonts w:hint="eastAsia" w:ascii="仿宋" w:hAnsi="仿宋" w:eastAsia="仿宋"/>
          <w:color w:val="auto"/>
          <w:sz w:val="28"/>
          <w:szCs w:val="28"/>
          <w:highlight w:val="none"/>
        </w:rPr>
        <w:t>（</w:t>
      </w:r>
      <w:bookmarkStart w:id="949" w:name="OLE_LINK96"/>
      <w:bookmarkStart w:id="950" w:name="OLE_LINK95"/>
      <w:r>
        <w:rPr>
          <w:rFonts w:ascii="仿宋" w:hAnsi="仿宋" w:eastAsia="仿宋"/>
          <w:color w:val="auto"/>
          <w:sz w:val="28"/>
          <w:szCs w:val="28"/>
          <w:highlight w:val="none"/>
        </w:rPr>
        <w:fldChar w:fldCharType="begin"/>
      </w:r>
      <w:r>
        <w:rPr>
          <w:rFonts w:ascii="仿宋" w:hAnsi="仿宋" w:eastAsia="仿宋"/>
          <w:color w:val="auto"/>
          <w:sz w:val="28"/>
          <w:szCs w:val="28"/>
          <w:highlight w:val="none"/>
        </w:rPr>
        <w:instrText xml:space="preserve"> HYPERLINK "http://www.ccgp.gov.cn" </w:instrText>
      </w:r>
      <w:r>
        <w:rPr>
          <w:rFonts w:ascii="仿宋" w:hAnsi="仿宋" w:eastAsia="仿宋"/>
          <w:color w:val="auto"/>
          <w:sz w:val="28"/>
          <w:szCs w:val="28"/>
          <w:highlight w:val="none"/>
        </w:rPr>
        <w:fldChar w:fldCharType="separate"/>
      </w:r>
      <w:r>
        <w:rPr>
          <w:rStyle w:val="58"/>
          <w:rFonts w:hint="eastAsia" w:ascii="仿宋" w:hAnsi="仿宋" w:eastAsia="仿宋"/>
          <w:color w:val="auto"/>
          <w:sz w:val="28"/>
          <w:szCs w:val="28"/>
          <w:highlight w:val="none"/>
        </w:rPr>
        <w:t>www.ccgp.gov.cn</w:t>
      </w:r>
      <w:r>
        <w:rPr>
          <w:rFonts w:ascii="仿宋" w:hAnsi="仿宋" w:eastAsia="仿宋"/>
          <w:color w:val="auto"/>
          <w:sz w:val="28"/>
          <w:szCs w:val="28"/>
          <w:highlight w:val="none"/>
        </w:rPr>
        <w:fldChar w:fldCharType="end"/>
      </w:r>
      <w:bookmarkEnd w:id="949"/>
      <w:bookmarkEnd w:id="950"/>
      <w:r>
        <w:rPr>
          <w:rFonts w:hint="eastAsia" w:ascii="仿宋" w:hAnsi="仿宋" w:eastAsia="仿宋"/>
          <w:color w:val="auto"/>
          <w:sz w:val="28"/>
          <w:szCs w:val="28"/>
          <w:highlight w:val="none"/>
        </w:rPr>
        <w:t>）</w:t>
      </w:r>
      <w:r>
        <w:rPr>
          <w:rFonts w:hint="eastAsia" w:ascii="仿宋_GB2312" w:hAnsi="宋体" w:eastAsia="仿宋_GB2312"/>
          <w:color w:val="auto"/>
          <w:sz w:val="28"/>
          <w:szCs w:val="28"/>
          <w:highlight w:val="none"/>
        </w:rPr>
        <w:t>查询以下失信行为：</w:t>
      </w:r>
    </w:p>
    <w:p>
      <w:pPr>
        <w:adjustRightInd w:val="0"/>
        <w:snapToGrid w:val="0"/>
        <w:spacing w:line="560" w:lineRule="exact"/>
        <w:ind w:firstLine="560" w:firstLineChars="200"/>
        <w:rPr>
          <w:rFonts w:hint="eastAsia" w:ascii="仿宋_GB2312" w:hAnsi="宋体" w:eastAsia="仿宋_GB2312" w:cs="楷体"/>
          <w:color w:val="auto"/>
          <w:sz w:val="28"/>
          <w:szCs w:val="28"/>
          <w:highlight w:val="none"/>
        </w:rPr>
      </w:pPr>
      <w:r>
        <w:rPr>
          <w:rFonts w:hint="eastAsia" w:ascii="仿宋_GB2312" w:hAnsi="宋体" w:eastAsia="仿宋_GB2312"/>
          <w:color w:val="auto"/>
          <w:sz w:val="28"/>
          <w:szCs w:val="28"/>
          <w:highlight w:val="none"/>
        </w:rPr>
        <w:t>①</w:t>
      </w:r>
      <w:bookmarkStart w:id="951" w:name="OLE_LINK105"/>
      <w:bookmarkStart w:id="952" w:name="OLE_LINK104"/>
      <w:bookmarkStart w:id="953" w:name="OLE_LINK106"/>
      <w:r>
        <w:rPr>
          <w:rFonts w:hint="eastAsia" w:ascii="仿宋_GB2312" w:hAnsi="宋体" w:eastAsia="仿宋_GB2312"/>
          <w:color w:val="auto"/>
          <w:sz w:val="28"/>
          <w:szCs w:val="28"/>
          <w:highlight w:val="none"/>
        </w:rPr>
        <w:t>被列入“政府采购严重违法失信行为信息记录”的</w:t>
      </w:r>
      <w:bookmarkEnd w:id="951"/>
      <w:bookmarkEnd w:id="952"/>
      <w:bookmarkEnd w:id="953"/>
      <w:r>
        <w:rPr>
          <w:rFonts w:hint="eastAsia" w:ascii="仿宋_GB2312" w:hAnsi="宋体" w:eastAsia="仿宋_GB2312" w:cs="楷体"/>
          <w:color w:val="auto"/>
          <w:sz w:val="28"/>
          <w:szCs w:val="28"/>
          <w:highlight w:val="none"/>
        </w:rPr>
        <w:t>。</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4、由竞争主体进行承诺，不进行现场网上信用查询的失信行为：</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①</w:t>
      </w:r>
      <w:r>
        <w:rPr>
          <w:rFonts w:hint="eastAsia" w:ascii="仿宋_GB2312" w:hAnsi="宋体" w:eastAsia="仿宋_GB2312" w:cs="楷体"/>
          <w:color w:val="auto"/>
          <w:sz w:val="28"/>
          <w:szCs w:val="28"/>
          <w:highlight w:val="none"/>
        </w:rPr>
        <w:t>前三年有行贿犯罪行为的单位和个人</w:t>
      </w:r>
      <w:r>
        <w:rPr>
          <w:rFonts w:hint="eastAsia" w:ascii="仿宋_GB2312" w:hAnsi="宋体" w:eastAsia="仿宋_GB2312"/>
          <w:color w:val="auto"/>
          <w:sz w:val="28"/>
          <w:szCs w:val="28"/>
          <w:highlight w:val="none"/>
        </w:rPr>
        <w:t>。</w:t>
      </w:r>
    </w:p>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二、在开评标活动中的查询程序</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实行有限数量制资格审查的项目，由项目单位（代理机构）对入围的投标人、法定代表人及其项目经理（建造师）是否存在上述要求查询的失信行为进行网上核查；若核查结果与投标人承诺不一致，则提交评标委员会取消其入围资格，依次进行替补，并对替补单位进行核查。评审结论以核查后入围的结果重新计算最终评标基准价。</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不实行有限数量制资格审查的项目，由项目单位（代理机构）对预中标候选人、法定代表人及其项目经理（建造师）是否存在上述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价。</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3、项目单位及其委托的代理机构应当做好信用查询结果截图和记录留存。</w:t>
      </w:r>
    </w:p>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三、相关要求</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1、参与公共资源交易活动的竞争主体根据上述范围查询的内容进行自查并承诺，出具《诚信投标承诺书》（诚信投标承诺书包括但不限于上述自查并承诺内容）并注明承诺日期（投标截止时间前5日内）。</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经核查，竞争主体在承诺日期之前（没有承诺日期的以资格审查日或开标日之前）有上述失信行为进行虚假承诺的，将视作不诚信行为，资格审查委员会或评标委员会及代理机构应当及时报告公共资源监管部门，依法依规予以处理。</w:t>
      </w:r>
    </w:p>
    <w:p>
      <w:pPr>
        <w:wordWrap w:val="0"/>
        <w:adjustRightInd w:val="0"/>
        <w:snapToGrid w:val="0"/>
        <w:spacing w:line="560" w:lineRule="exact"/>
        <w:ind w:firstLine="560" w:firstLineChars="200"/>
        <w:rPr>
          <w:rFonts w:hint="eastAsia"/>
          <w:color w:val="auto"/>
          <w:highlight w:val="none"/>
        </w:rPr>
      </w:pPr>
      <w:r>
        <w:rPr>
          <w:rFonts w:hint="eastAsia" w:ascii="仿宋_GB2312" w:hAnsi="宋体" w:eastAsia="仿宋_GB2312"/>
          <w:color w:val="auto"/>
          <w:sz w:val="28"/>
          <w:szCs w:val="28"/>
          <w:highlight w:val="none"/>
        </w:rPr>
        <w:t xml:space="preserve">注册地在安徽省内且未在安徽省外开展业务、省外无违法违规行为的企业可通过安徽政务服务网开具由安徽省公共信用信息服务中心出具的《公共信用信息报告（无违法违规证明版或核查版）》代替《诚信投标承诺书》。《公共信用信息报告（无违法违规证明版或核查版）》可通过 “信用中国(安徽)”网站信用报告核验系统 ( </w:t>
      </w:r>
      <w:r>
        <w:rPr>
          <w:color w:val="auto"/>
          <w:highlight w:val="none"/>
        </w:rPr>
        <w:fldChar w:fldCharType="begin"/>
      </w:r>
      <w:r>
        <w:rPr>
          <w:color w:val="auto"/>
          <w:highlight w:val="none"/>
        </w:rPr>
        <w:instrText xml:space="preserve"> HYPERLINK "https://credit.ah.gov.cn/xinyong-fuwu/xvbahv/index.html" </w:instrText>
      </w:r>
      <w:r>
        <w:rPr>
          <w:color w:val="auto"/>
          <w:highlight w:val="none"/>
        </w:rPr>
        <w:fldChar w:fldCharType="separate"/>
      </w:r>
      <w:r>
        <w:rPr>
          <w:rStyle w:val="58"/>
          <w:rFonts w:hint="eastAsia" w:ascii="仿宋_GB2312" w:hAnsi="宋体" w:eastAsia="仿宋_GB2312"/>
          <w:color w:val="auto"/>
          <w:sz w:val="28"/>
          <w:szCs w:val="28"/>
          <w:highlight w:val="none"/>
        </w:rPr>
        <w:t>https://credit.ah.gov.cn/xinyong-fuwu/xvbahv/index.html</w:t>
      </w:r>
      <w:r>
        <w:rPr>
          <w:color w:val="auto"/>
          <w:highlight w:val="none"/>
        </w:rPr>
        <w:fldChar w:fldCharType="end"/>
      </w:r>
      <w:r>
        <w:rPr>
          <w:rFonts w:hint="eastAsia" w:ascii="仿宋_GB2312" w:hAnsi="宋体" w:eastAsia="仿宋_GB2312"/>
          <w:color w:val="auto"/>
          <w:sz w:val="28"/>
          <w:szCs w:val="28"/>
          <w:highlight w:val="none"/>
        </w:rPr>
        <w:t>)进行核验。核验不一致或提交《公共信用信息报告（无违法违规证明版或核查版）》的企业在省外有失信行为的将视作不诚信行为，资格审查委员会或评标委员会及代理机构应当及时报告公共资源监管部门，依法依规予以处理。</w:t>
      </w:r>
    </w:p>
    <w:p>
      <w:pPr>
        <w:adjustRightInd w:val="0"/>
        <w:snapToGrid w:val="0"/>
        <w:spacing w:line="560" w:lineRule="exact"/>
        <w:ind w:firstLine="562" w:firstLineChars="200"/>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2、“信用中国”查询的严重失信行为判定依据为各行业主管部门下发的联合惩戒文件中规定的行为（按附件2执行）。</w:t>
      </w:r>
    </w:p>
    <w:p>
      <w:pPr>
        <w:adjustRightInd w:val="0"/>
        <w:snapToGrid w:val="0"/>
        <w:spacing w:line="560" w:lineRule="exact"/>
        <w:ind w:firstLine="560" w:firstLineChars="20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3、资格预审的项目以递交资格预审申请文件截止时间查询为准；资格后审的项目以递交投标文件截止时间查询为准。</w:t>
      </w: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ind w:right="960"/>
        <w:rPr>
          <w:rFonts w:hint="eastAsia" w:ascii="仿宋" w:hAnsi="仿宋" w:eastAsia="仿宋"/>
          <w:color w:val="auto"/>
          <w:sz w:val="32"/>
          <w:szCs w:val="32"/>
          <w:highlight w:val="none"/>
        </w:rPr>
      </w:pPr>
    </w:p>
    <w:p>
      <w:pPr>
        <w:pStyle w:val="2"/>
        <w:rPr>
          <w:rFonts w:hint="eastAsia"/>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ind w:right="960"/>
        <w:rPr>
          <w:rFonts w:ascii="仿宋" w:hAnsi="仿宋" w:eastAsia="仿宋"/>
          <w:color w:val="auto"/>
          <w:sz w:val="32"/>
          <w:szCs w:val="32"/>
          <w:highlight w:val="none"/>
        </w:rPr>
      </w:pPr>
    </w:p>
    <w:p>
      <w:pPr>
        <w:keepNext/>
        <w:keepLines/>
        <w:spacing w:before="200" w:after="200" w:line="600" w:lineRule="exact"/>
        <w:outlineLvl w:val="0"/>
        <w:rPr>
          <w:rFonts w:hint="eastAsia" w:ascii="黑体" w:hAnsi="黑体" w:eastAsia="黑体"/>
          <w:b/>
          <w:bCs/>
          <w:color w:val="auto"/>
          <w:kern w:val="44"/>
          <w:sz w:val="36"/>
          <w:szCs w:val="28"/>
          <w:highlight w:val="none"/>
        </w:rPr>
      </w:pPr>
      <w:bookmarkStart w:id="954" w:name="_Toc95223549"/>
      <w:bookmarkStart w:id="955" w:name="OLE_LINK31"/>
      <w:bookmarkStart w:id="956" w:name="OLE_LINK41"/>
      <w:r>
        <w:rPr>
          <w:rFonts w:hint="eastAsia" w:ascii="黑体" w:hAnsi="黑体" w:eastAsia="黑体"/>
          <w:b/>
          <w:bCs/>
          <w:color w:val="auto"/>
          <w:kern w:val="44"/>
          <w:sz w:val="36"/>
          <w:szCs w:val="28"/>
          <w:highlight w:val="none"/>
        </w:rPr>
        <w:t xml:space="preserve">附件2 </w:t>
      </w:r>
      <w:bookmarkStart w:id="957" w:name="OLE_LINK74"/>
      <w:bookmarkStart w:id="958" w:name="OLE_LINK75"/>
      <w:r>
        <w:rPr>
          <w:rFonts w:hint="eastAsia" w:ascii="黑体" w:hAnsi="黑体" w:eastAsia="黑体"/>
          <w:b/>
          <w:bCs/>
          <w:color w:val="auto"/>
          <w:kern w:val="44"/>
          <w:sz w:val="36"/>
          <w:szCs w:val="28"/>
          <w:highlight w:val="none"/>
        </w:rPr>
        <w:t>“信用中国”查询的严重失信行为</w:t>
      </w:r>
      <w:bookmarkStart w:id="959" w:name="OLE_LINK39"/>
      <w:bookmarkStart w:id="960" w:name="OLE_LINK76"/>
      <w:bookmarkStart w:id="961" w:name="OLE_LINK38"/>
      <w:bookmarkStart w:id="962" w:name="OLE_LINK40"/>
      <w:r>
        <w:rPr>
          <w:rFonts w:hint="eastAsia" w:ascii="黑体" w:hAnsi="黑体" w:eastAsia="黑体"/>
          <w:b/>
          <w:bCs/>
          <w:color w:val="auto"/>
          <w:kern w:val="44"/>
          <w:sz w:val="36"/>
          <w:szCs w:val="28"/>
          <w:highlight w:val="none"/>
        </w:rPr>
        <w:t>类别及判定依据</w:t>
      </w:r>
      <w:bookmarkEnd w:id="954"/>
      <w:bookmarkEnd w:id="957"/>
      <w:bookmarkEnd w:id="958"/>
      <w:bookmarkEnd w:id="959"/>
      <w:bookmarkEnd w:id="960"/>
      <w:bookmarkEnd w:id="961"/>
      <w:bookmarkEnd w:id="962"/>
    </w:p>
    <w:bookmarkEnd w:id="955"/>
    <w:bookmarkEnd w:id="956"/>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32"/>
          <w:szCs w:val="32"/>
          <w:highlight w:val="none"/>
        </w:rPr>
        <w:t>“</w:t>
      </w:r>
      <w:r>
        <w:rPr>
          <w:rFonts w:hint="eastAsia" w:ascii="仿宋_GB2312" w:hAnsi="宋体" w:eastAsia="仿宋_GB2312"/>
          <w:color w:val="auto"/>
          <w:sz w:val="28"/>
          <w:szCs w:val="28"/>
          <w:highlight w:val="none"/>
        </w:rPr>
        <w:t>信用中国”查询的严重失信行为判定依据为各行业主管部门下发的联合惩戒文件中规定的行为。下面将部分类别的严重失信行为列举如下：</w:t>
      </w:r>
    </w:p>
    <w:p>
      <w:pPr>
        <w:adjustRightInd w:val="0"/>
        <w:snapToGrid w:val="0"/>
        <w:spacing w:line="560" w:lineRule="exact"/>
        <w:ind w:firstLine="645"/>
        <w:jc w:val="left"/>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一、安全生产领域严重失信行为：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（一）下列发生生产安全事故的生产经营单位及其有关人员应当列入严重失信主体名单：</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1、发生特别重大、重大生产安全事故的生产经营单位及其主要负责人，以及经调查认定对该事故发生负有责任，应当列入名单的其他单位和人员；</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2、12个月内累计发生2起以上较大生产安全事故的生产经营单位及其主要负责人；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3、发生生产安全事故，情节特别严重、影响特别恶劣，依照《中华人民共和国安全生产法》第一百一十四条的规定被处以罚款数额2倍以上5倍以下罚款的生产经营单位及其主要负责人；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4、瞒报、谎报生产安全事故的生产经营单位及其有关责任人员；</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5、发生生产安全事故后，不立即组织抢救或者在事故调查处理期间擅离职守或者逃匿的生产经营单位主要负责人。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（二）下列未发生生产安全事故，但因安全生产违法行为，受到行政处罚的生产经营单位或者机构及其有关人员，应当列入严重失信主体名单：</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1、未依法取得安全生产相关许可或者许可被暂扣、吊销期间从事相关生产经营活动的生产经营单位及其主要负责人；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2、承担安全评价、认证、检测、检验职责的机构及其直接责任人员租借资质、挂靠、出具虚假报告或者证书的；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3、在应急管理部门作出行政处罚后，有执行能力拒不执行或者逃避执行的生产经营单位及其主要负责人；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4、其他违反安全生产法律法规受到行政处罚，且性质恶劣、情节严重的。</w:t>
      </w:r>
    </w:p>
    <w:p>
      <w:pPr>
        <w:adjustRightInd w:val="0"/>
        <w:snapToGrid w:val="0"/>
        <w:spacing w:line="560" w:lineRule="exact"/>
        <w:ind w:firstLine="645"/>
        <w:jc w:val="left"/>
        <w:rPr>
          <w:rFonts w:hint="eastAsia" w:ascii="仿宋_GB2312" w:hAnsi="Calibri" w:eastAsia="仿宋_GB2312"/>
          <w:b/>
          <w:color w:val="auto"/>
          <w:sz w:val="28"/>
          <w:szCs w:val="28"/>
          <w:highlight w:val="none"/>
        </w:rPr>
      </w:pPr>
      <w:r>
        <w:rPr>
          <w:rFonts w:hint="eastAsia" w:ascii="仿宋_GB2312" w:hAnsi="宋体" w:eastAsia="仿宋_GB2312"/>
          <w:b/>
          <w:color w:val="auto"/>
          <w:sz w:val="28"/>
          <w:szCs w:val="28"/>
          <w:highlight w:val="none"/>
        </w:rPr>
        <w:t>依据：《安全生产严重失信主体名单管理办法》</w:t>
      </w:r>
      <w:r>
        <w:rPr>
          <w:rFonts w:hint="eastAsia" w:ascii="仿宋_GB2312" w:hAnsi="Calibri" w:eastAsia="仿宋_GB2312"/>
          <w:b/>
          <w:color w:val="auto"/>
          <w:sz w:val="28"/>
          <w:szCs w:val="28"/>
          <w:highlight w:val="none"/>
        </w:rPr>
        <w:t>（2023年8月8日应急管理部令第11号）</w:t>
      </w:r>
    </w:p>
    <w:p>
      <w:pPr>
        <w:adjustRightInd w:val="0"/>
        <w:snapToGrid w:val="0"/>
        <w:spacing w:line="560" w:lineRule="exact"/>
        <w:ind w:firstLine="645"/>
        <w:jc w:val="left"/>
        <w:rPr>
          <w:rFonts w:hint="eastAsia" w:ascii="仿宋_GB2312" w:hAnsi="宋体" w:eastAsia="仿宋_GB2312"/>
          <w:b/>
          <w:color w:val="auto"/>
          <w:sz w:val="28"/>
          <w:szCs w:val="28"/>
          <w:highlight w:val="none"/>
        </w:rPr>
      </w:pPr>
    </w:p>
    <w:p>
      <w:pPr>
        <w:adjustRightInd w:val="0"/>
        <w:snapToGrid w:val="0"/>
        <w:spacing w:line="560" w:lineRule="exact"/>
        <w:ind w:firstLine="645"/>
        <w:jc w:val="left"/>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二、环境保护领域严重失信行为：</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（一）因为环境违法构成</w:t>
      </w:r>
      <w:r>
        <w:rPr>
          <w:color w:val="auto"/>
          <w:highlight w:val="none"/>
        </w:rPr>
        <w:fldChar w:fldCharType="begin"/>
      </w:r>
      <w:r>
        <w:rPr>
          <w:color w:val="auto"/>
          <w:highlight w:val="none"/>
        </w:rPr>
        <w:instrText xml:space="preserve"> HYPERLINK "https://baike.sogou.com/m/fullLemma?lid=10403954&amp;g_ut=3"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环境犯罪</w:t>
      </w:r>
      <w:r>
        <w:rPr>
          <w:color w:val="auto"/>
          <w:highlight w:val="none"/>
        </w:rPr>
        <w:fldChar w:fldCharType="end"/>
      </w:r>
      <w:r>
        <w:rPr>
          <w:rFonts w:hint="eastAsia" w:ascii="仿宋_GB2312" w:hAnsi="宋体" w:eastAsia="仿宋_GB2312"/>
          <w:color w:val="auto"/>
          <w:sz w:val="28"/>
          <w:szCs w:val="28"/>
          <w:highlight w:val="none"/>
        </w:rPr>
        <w:t>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（二）</w:t>
      </w:r>
      <w:r>
        <w:rPr>
          <w:color w:val="auto"/>
          <w:highlight w:val="none"/>
        </w:rPr>
        <w:fldChar w:fldCharType="begin"/>
      </w:r>
      <w:r>
        <w:rPr>
          <w:color w:val="auto"/>
          <w:highlight w:val="none"/>
        </w:rPr>
        <w:instrText xml:space="preserve"> HYPERLINK "https://baike.sogou.com/m/fullLemma?lid=76033123&amp;g_ut=3"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建设项目环境影响评价</w:t>
      </w:r>
      <w:r>
        <w:rPr>
          <w:color w:val="auto"/>
          <w:highlight w:val="none"/>
        </w:rPr>
        <w:fldChar w:fldCharType="end"/>
      </w:r>
      <w:r>
        <w:rPr>
          <w:rFonts w:hint="eastAsia" w:ascii="仿宋_GB2312" w:hAnsi="宋体" w:eastAsia="仿宋_GB2312"/>
          <w:color w:val="auto"/>
          <w:sz w:val="28"/>
          <w:szCs w:val="28"/>
          <w:highlight w:val="none"/>
        </w:rPr>
        <w:t>文件未按规定通过审批，擅自开工建设的；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（三）建设项目环保设施未建成、环保措施未落实、未通过</w:t>
      </w:r>
      <w:r>
        <w:rPr>
          <w:color w:val="auto"/>
          <w:highlight w:val="none"/>
        </w:rPr>
        <w:fldChar w:fldCharType="begin"/>
      </w:r>
      <w:r>
        <w:rPr>
          <w:color w:val="auto"/>
          <w:highlight w:val="none"/>
        </w:rPr>
        <w:instrText xml:space="preserve"> HYPERLINK "https://baike.sogou.com/m/fullLemma?lid=6470550&amp;g_ut=3"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竣工环保验收</w:t>
      </w:r>
      <w:r>
        <w:rPr>
          <w:color w:val="auto"/>
          <w:highlight w:val="none"/>
        </w:rPr>
        <w:fldChar w:fldCharType="end"/>
      </w:r>
      <w:r>
        <w:rPr>
          <w:rFonts w:hint="eastAsia" w:ascii="仿宋_GB2312" w:hAnsi="宋体" w:eastAsia="仿宋_GB2312"/>
          <w:color w:val="auto"/>
          <w:sz w:val="28"/>
          <w:szCs w:val="28"/>
          <w:highlight w:val="none"/>
        </w:rPr>
        <w:t>或者验收不合格，主体工程正式投入生产或者使用的；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（四）建设项目性质、规模、地点、采用的生产工艺或者防治污染、防止生态破坏的措施发生重大变动，未重新报批环境影响评价文件，擅自投入生产或者使用的；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（五）主要污染物排放总量超过控制指标的；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（六）私设暗管或者利用</w:t>
      </w:r>
      <w:r>
        <w:rPr>
          <w:color w:val="auto"/>
          <w:highlight w:val="none"/>
        </w:rPr>
        <w:fldChar w:fldCharType="begin"/>
      </w:r>
      <w:r>
        <w:rPr>
          <w:color w:val="auto"/>
          <w:highlight w:val="none"/>
        </w:rPr>
        <w:instrText xml:space="preserve"> HYPERLINK "https://baike.sogou.com/m/fullLemma?lid=41657319&amp;g_ut=3"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渗井</w:t>
      </w:r>
      <w:r>
        <w:rPr>
          <w:color w:val="auto"/>
          <w:highlight w:val="none"/>
        </w:rPr>
        <w:fldChar w:fldCharType="end"/>
      </w:r>
      <w:r>
        <w:rPr>
          <w:rFonts w:hint="eastAsia" w:ascii="仿宋_GB2312" w:hAnsi="宋体" w:eastAsia="仿宋_GB2312"/>
          <w:color w:val="auto"/>
          <w:sz w:val="28"/>
          <w:szCs w:val="28"/>
          <w:highlight w:val="none"/>
        </w:rPr>
        <w:t>、渗坑、裂隙、溶洞等排放、倾倒、处置水污染物，或者通过私设旁路排放</w:t>
      </w:r>
      <w:r>
        <w:rPr>
          <w:color w:val="auto"/>
          <w:highlight w:val="none"/>
        </w:rPr>
        <w:fldChar w:fldCharType="begin"/>
      </w:r>
      <w:r>
        <w:rPr>
          <w:color w:val="auto"/>
          <w:highlight w:val="none"/>
        </w:rPr>
        <w:instrText xml:space="preserve"> HYPERLINK "https://baike.sogou.com/m/fullLemma?lid=7758328&amp;g_ut=3"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大气污染物</w:t>
      </w:r>
      <w:r>
        <w:rPr>
          <w:color w:val="auto"/>
          <w:highlight w:val="none"/>
        </w:rPr>
        <w:fldChar w:fldCharType="end"/>
      </w:r>
      <w:r>
        <w:rPr>
          <w:rFonts w:hint="eastAsia" w:ascii="仿宋_GB2312" w:hAnsi="宋体" w:eastAsia="仿宋_GB2312"/>
          <w:color w:val="auto"/>
          <w:sz w:val="28"/>
          <w:szCs w:val="28"/>
          <w:highlight w:val="none"/>
        </w:rPr>
        <w:t>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（七）非法排放、倾倒、处置危险废物，或者向无</w:t>
      </w:r>
      <w:r>
        <w:rPr>
          <w:color w:val="auto"/>
          <w:highlight w:val="none"/>
        </w:rPr>
        <w:fldChar w:fldCharType="begin"/>
      </w:r>
      <w:r>
        <w:rPr>
          <w:color w:val="auto"/>
          <w:highlight w:val="none"/>
        </w:rPr>
        <w:instrText xml:space="preserve"> HYPERLINK "https://baike.sogou.com/m/fullLemma?lid=5923292&amp;g_ut=3"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经营许可证</w:t>
      </w:r>
      <w:r>
        <w:rPr>
          <w:color w:val="auto"/>
          <w:highlight w:val="none"/>
        </w:rPr>
        <w:fldChar w:fldCharType="end"/>
      </w:r>
      <w:r>
        <w:rPr>
          <w:rFonts w:hint="eastAsia" w:ascii="仿宋_GB2312" w:hAnsi="宋体" w:eastAsia="仿宋_GB2312"/>
          <w:color w:val="auto"/>
          <w:sz w:val="28"/>
          <w:szCs w:val="28"/>
          <w:highlight w:val="none"/>
        </w:rPr>
        <w:t>或者超出经营许可范围的单位或个人提供或者委托其收集、贮存、利用、处置危险废物的；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（八）</w:t>
      </w:r>
      <w:r>
        <w:rPr>
          <w:color w:val="auto"/>
          <w:highlight w:val="none"/>
        </w:rPr>
        <w:fldChar w:fldCharType="begin"/>
      </w:r>
      <w:r>
        <w:rPr>
          <w:color w:val="auto"/>
          <w:highlight w:val="none"/>
        </w:rPr>
        <w:instrText xml:space="preserve"> HYPERLINK "https://baike.sogou.com/m/fullLemma?lid=167759803&amp;g_ut=3"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环境违法行为</w:t>
      </w:r>
      <w:r>
        <w:rPr>
          <w:color w:val="auto"/>
          <w:highlight w:val="none"/>
        </w:rPr>
        <w:fldChar w:fldCharType="end"/>
      </w:r>
      <w:r>
        <w:rPr>
          <w:rFonts w:hint="eastAsia" w:ascii="仿宋_GB2312" w:hAnsi="宋体" w:eastAsia="仿宋_GB2312"/>
          <w:color w:val="auto"/>
          <w:sz w:val="28"/>
          <w:szCs w:val="28"/>
          <w:highlight w:val="none"/>
        </w:rPr>
        <w:t>造成集中式生活饮用水水源取水中断的；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（九）环境违法行为对生活饮用水水源保护区、自然保护区、</w:t>
      </w:r>
      <w:r>
        <w:rPr>
          <w:color w:val="auto"/>
          <w:highlight w:val="none"/>
        </w:rPr>
        <w:fldChar w:fldCharType="begin"/>
      </w:r>
      <w:r>
        <w:rPr>
          <w:color w:val="auto"/>
          <w:highlight w:val="none"/>
        </w:rPr>
        <w:instrText xml:space="preserve"> HYPERLINK "https://baike.sogou.com/m/fullLemma?lid=155199213&amp;g_ut=3"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国家重点生态功能区</w:t>
      </w:r>
      <w:r>
        <w:rPr>
          <w:color w:val="auto"/>
          <w:highlight w:val="none"/>
        </w:rPr>
        <w:fldChar w:fldCharType="end"/>
      </w:r>
      <w:r>
        <w:rPr>
          <w:rFonts w:hint="eastAsia" w:ascii="仿宋_GB2312" w:hAnsi="宋体" w:eastAsia="仿宋_GB2312"/>
          <w:color w:val="auto"/>
          <w:sz w:val="28"/>
          <w:szCs w:val="28"/>
          <w:highlight w:val="none"/>
        </w:rPr>
        <w:t>、风景名胜区、居住功能区、</w:t>
      </w:r>
      <w:r>
        <w:rPr>
          <w:color w:val="auto"/>
          <w:highlight w:val="none"/>
        </w:rPr>
        <w:fldChar w:fldCharType="begin"/>
      </w:r>
      <w:r>
        <w:rPr>
          <w:color w:val="auto"/>
          <w:highlight w:val="none"/>
        </w:rPr>
        <w:instrText xml:space="preserve"> HYPERLINK "https://baike.sogou.com/m/fullLemma?lid=7757164&amp;g_ut=3" \t "https://baike.sogou.com/m/_blank" </w:instrText>
      </w:r>
      <w:r>
        <w:rPr>
          <w:color w:val="auto"/>
          <w:highlight w:val="none"/>
        </w:rPr>
        <w:fldChar w:fldCharType="separate"/>
      </w:r>
      <w:r>
        <w:rPr>
          <w:rStyle w:val="58"/>
          <w:rFonts w:hint="eastAsia" w:ascii="仿宋_GB2312" w:hAnsi="宋体" w:eastAsia="仿宋_GB2312"/>
          <w:color w:val="auto"/>
          <w:sz w:val="28"/>
          <w:szCs w:val="28"/>
          <w:highlight w:val="none"/>
        </w:rPr>
        <w:t>基本农田保护区</w:t>
      </w:r>
      <w:r>
        <w:rPr>
          <w:color w:val="auto"/>
          <w:highlight w:val="none"/>
        </w:rPr>
        <w:fldChar w:fldCharType="end"/>
      </w:r>
      <w:r>
        <w:rPr>
          <w:rFonts w:hint="eastAsia" w:ascii="仿宋_GB2312" w:hAnsi="宋体" w:eastAsia="仿宋_GB2312"/>
          <w:color w:val="auto"/>
          <w:sz w:val="28"/>
          <w:szCs w:val="28"/>
          <w:highlight w:val="none"/>
        </w:rPr>
        <w:t>等环境敏感区造成重大不利影响的；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（十）违法从事自然资源开发、交通基础设施建设，以及其他开发建设活动，造成严重生态破坏的；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（十一）发生较大及以上突发环境事件的；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（十二）被环保部门挂牌督办，整改逾期未完成的；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（十三）以暴力、威胁等方式拒绝、阻挠环保部门工作人员现场检查的；</w:t>
      </w:r>
    </w:p>
    <w:p>
      <w:pPr>
        <w:adjustRightInd w:val="0"/>
        <w:snapToGrid w:val="0"/>
        <w:spacing w:line="560" w:lineRule="exact"/>
        <w:ind w:firstLine="645"/>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（十四）违反重污染天气应急预案有关规定，对重污染天气响应不力的。</w:t>
      </w:r>
    </w:p>
    <w:p>
      <w:pPr>
        <w:adjustRightInd w:val="0"/>
        <w:snapToGrid w:val="0"/>
        <w:spacing w:line="560" w:lineRule="exact"/>
        <w:ind w:firstLine="645"/>
        <w:jc w:val="left"/>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依据：《关于对环境保护领域失信生产经营单位及其有关人员开展联合惩戒的合作备忘录》、《</w:t>
      </w:r>
      <w:bookmarkStart w:id="963" w:name="OLE_LINK12"/>
      <w:r>
        <w:rPr>
          <w:rFonts w:hint="eastAsia" w:ascii="仿宋_GB2312" w:hAnsi="宋体" w:eastAsia="仿宋_GB2312"/>
          <w:b/>
          <w:color w:val="auto"/>
          <w:sz w:val="28"/>
          <w:szCs w:val="28"/>
          <w:highlight w:val="none"/>
        </w:rPr>
        <w:t>企业环境信用评价办法（试行）</w:t>
      </w:r>
      <w:bookmarkEnd w:id="963"/>
      <w:r>
        <w:rPr>
          <w:rFonts w:hint="eastAsia" w:ascii="仿宋_GB2312" w:hAnsi="宋体" w:eastAsia="仿宋_GB2312"/>
          <w:b/>
          <w:color w:val="auto"/>
          <w:sz w:val="28"/>
          <w:szCs w:val="28"/>
          <w:highlight w:val="none"/>
        </w:rPr>
        <w:t>》（环发〔2013〕150号）</w:t>
      </w:r>
    </w:p>
    <w:p>
      <w:pPr>
        <w:adjustRightInd w:val="0"/>
        <w:snapToGrid w:val="0"/>
        <w:spacing w:line="560" w:lineRule="exact"/>
        <w:ind w:firstLine="645"/>
        <w:jc w:val="left"/>
        <w:rPr>
          <w:rFonts w:hint="eastAsia" w:ascii="仿宋_GB2312" w:hAnsi="宋体" w:eastAsia="仿宋_GB2312"/>
          <w:b/>
          <w:color w:val="auto"/>
          <w:sz w:val="28"/>
          <w:szCs w:val="28"/>
          <w:highlight w:val="none"/>
        </w:rPr>
      </w:pPr>
    </w:p>
    <w:p>
      <w:pPr>
        <w:adjustRightInd w:val="0"/>
        <w:snapToGrid w:val="0"/>
        <w:spacing w:line="560" w:lineRule="exact"/>
        <w:ind w:firstLine="645"/>
        <w:jc w:val="left"/>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三、</w:t>
      </w:r>
      <w:r>
        <w:rPr>
          <w:rFonts w:hint="eastAsia" w:ascii="仿宋_GB2312" w:hAnsi="宋体" w:eastAsia="仿宋_GB2312"/>
          <w:b/>
          <w:bCs/>
          <w:color w:val="auto"/>
          <w:sz w:val="28"/>
          <w:szCs w:val="28"/>
          <w:highlight w:val="none"/>
        </w:rPr>
        <w:t>公共资源交易领域严重失信行为</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（一）违反法律规定，必须进行招标的项目而不招标的，将必须进行招标的项目化整为零或者以其他任何方式规避招标的；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（二）招标代理机构违反法律规定，泄露应当保密的与招标投标活动有关的情况和资料的，或者与招标人、投标人串通损害 国家利益、社会公共利益或者他人合法权益的；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（三）招标人以不合理的条件限制或者排斥潜在投标人的，对潜在投标人实行歧视待遇的，强制要求投标人组成联合体共同 投标的，或者限制投标人之间竞争的；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（四）依法必须进行招标的项目的招标人向他人透露已获取招标文件的潜在投标人的名称、数量或者可能影响公平竞争的有 关招标投标的其他情况的，或者泄露标底的；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（五）投标人相互串通投标或者与招标人串通投标的，投标人以向招标人或者评标委员会成员行贿的手段谋取中标的； </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（六）投标人以他人名义投标或者以其他方式弄虚作假，骗取中标的；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（七）依法必须进行招标的项目，招标人违反法律规定，与投标人就投标价格、投标方案等实质性内容进行谈判的；</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（八）评标委员会成员收受投标人的财物或者其他好处的，评标委员会成员或者参加评标的有关工作人员向他人透露对投 标文件的评审和比较、中标候选人的推荐以及与评标有关的其他 情况的；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（九）招标人在评标委员会依法推荐的中标候选人以外确定中标人的，依法必须进行招标的项目在所有投标被评标委员会否 决后自行确定中标人的；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（十）中标人将中标项目转让给他人的，将中标项目肢解后分别转让给他人的，违反法律规定将中标项目的部分主体、关键 性工作分包给他人的，或者分包人再次分包的；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（十一）招标人与中标人不按照招标文件和中标人的投标文件订立合同的，或者招标人、中标人订立背离合同实质性内容的 协议的；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（十二）中标人不按照与招标人订立的合同履行义务，情节严重的；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（十三）采购人、采购代理机构存在应当采用公开招标方式而擅自采用其他方式采购，擅自提高采购标准，以不合理的条件 对供应商实行差别待遇或者歧视待遇，在招标采购过程中与投标 人进行协商谈判，中标、成交通知书发出后不与中标、成交供应商签订采购合同，或者拒绝有关部门依法实施监督检查等情形的；</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 （十四）采购人、采购代理机构及其工作人员存在与供应商 或者采购代理机构恶意串通，在采购过程中接受贿赂或者获取其 他不正当利益，在有关部门依法实施的监督检查中提供虚假情况， 或者开标前泄露标底等情形的；</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 （十五）采购人对应当实行集中采购的政府采购项目，不委托集中采购机构实行集中采购的；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（十六）采购人、采购代理机构违反法律规定隐匿、销毁应当保存的采购文件或者伪造、变造采购文件的； </w:t>
      </w:r>
    </w:p>
    <w:p>
      <w:pPr>
        <w:adjustRightInd w:val="0"/>
        <w:snapToGrid w:val="0"/>
        <w:spacing w:line="560" w:lineRule="exact"/>
        <w:ind w:firstLine="645"/>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（十七）供应商存在提供虚假材料谋取中标、成交，采取不 正当手段诋毁、排挤其他供应商，与采购人、其他供应商或者采 购代理机构恶意串通，向采购人、采购代理机构行贿或者提供其 他不正当利益，在招标采购过程中与采购人进行协商谈判，或拒 绝有关部门监督检查或者提供虚假情况等情形的；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（十八）疫苗生产企业向县级疾病预防控制机构以外的单位或者个人销售第二类疫苗的； </w:t>
      </w:r>
    </w:p>
    <w:p>
      <w:pPr>
        <w:adjustRightInd w:val="0"/>
        <w:snapToGrid w:val="0"/>
        <w:spacing w:line="560" w:lineRule="exact"/>
        <w:ind w:left="141" w:leftChars="67" w:firstLine="420" w:firstLineChars="150"/>
        <w:jc w:val="left"/>
        <w:rPr>
          <w:rFonts w:hint="eastAsia" w:ascii="仿宋_GB2312" w:hAnsi="宋体" w:eastAsia="仿宋_GB2312"/>
          <w:color w:val="auto"/>
          <w:sz w:val="28"/>
          <w:szCs w:val="28"/>
          <w:highlight w:val="none"/>
        </w:rPr>
      </w:pPr>
      <w:r>
        <w:rPr>
          <w:rFonts w:hint="eastAsia" w:ascii="仿宋_GB2312" w:hAnsi="Calibri" w:eastAsia="仿宋_GB2312"/>
          <w:color w:val="auto"/>
          <w:sz w:val="28"/>
          <w:szCs w:val="28"/>
          <w:highlight w:val="none"/>
        </w:rPr>
        <w:t>（十九）存在其他违反公共资源交易法律法规行为的。</w:t>
      </w:r>
    </w:p>
    <w:p>
      <w:pPr>
        <w:adjustRightInd w:val="0"/>
        <w:snapToGrid w:val="0"/>
        <w:spacing w:line="560" w:lineRule="exact"/>
        <w:ind w:firstLine="894" w:firstLineChars="318"/>
        <w:jc w:val="left"/>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依据：《</w:t>
      </w:r>
      <w:bookmarkStart w:id="964" w:name="OLE_LINK13"/>
      <w:r>
        <w:rPr>
          <w:rFonts w:hint="eastAsia" w:ascii="仿宋_GB2312" w:hAnsi="宋体" w:eastAsia="仿宋_GB2312"/>
          <w:b/>
          <w:color w:val="auto"/>
          <w:sz w:val="28"/>
          <w:szCs w:val="28"/>
          <w:highlight w:val="none"/>
        </w:rPr>
        <w:t>关于对公共资源交易领域严重失信主体开展联合惩戒的备忘录</w:t>
      </w:r>
      <w:bookmarkEnd w:id="964"/>
      <w:r>
        <w:rPr>
          <w:rFonts w:hint="eastAsia" w:ascii="仿宋_GB2312" w:hAnsi="宋体" w:eastAsia="仿宋_GB2312"/>
          <w:b/>
          <w:color w:val="auto"/>
          <w:sz w:val="28"/>
          <w:szCs w:val="28"/>
          <w:highlight w:val="none"/>
        </w:rPr>
        <w:t>》（发改法规〔2018〕457号）</w:t>
      </w:r>
    </w:p>
    <w:p>
      <w:pPr>
        <w:adjustRightInd w:val="0"/>
        <w:snapToGrid w:val="0"/>
        <w:spacing w:line="560" w:lineRule="exact"/>
        <w:ind w:firstLine="645"/>
        <w:jc w:val="left"/>
        <w:rPr>
          <w:rFonts w:hint="eastAsia" w:ascii="仿宋_GB2312" w:hAnsi="宋体" w:eastAsia="仿宋_GB2312"/>
          <w:color w:val="auto"/>
          <w:sz w:val="28"/>
          <w:szCs w:val="28"/>
          <w:highlight w:val="none"/>
        </w:rPr>
      </w:pPr>
    </w:p>
    <w:p>
      <w:pPr>
        <w:adjustRightInd w:val="0"/>
        <w:snapToGrid w:val="0"/>
        <w:spacing w:line="560" w:lineRule="exact"/>
        <w:ind w:firstLine="645"/>
        <w:jc w:val="left"/>
        <w:rPr>
          <w:rFonts w:hint="eastAsia" w:ascii="仿宋_GB2312" w:hAnsi="宋体" w:eastAsia="仿宋_GB2312"/>
          <w:b/>
          <w:bCs/>
          <w:color w:val="auto"/>
          <w:sz w:val="28"/>
          <w:szCs w:val="28"/>
          <w:highlight w:val="none"/>
        </w:rPr>
      </w:pPr>
      <w:r>
        <w:rPr>
          <w:rFonts w:hint="eastAsia" w:ascii="仿宋_GB2312" w:hAnsi="宋体" w:eastAsia="仿宋_GB2312"/>
          <w:b/>
          <w:color w:val="auto"/>
          <w:sz w:val="28"/>
          <w:szCs w:val="28"/>
          <w:highlight w:val="none"/>
        </w:rPr>
        <w:t>四、</w:t>
      </w:r>
      <w:r>
        <w:rPr>
          <w:rFonts w:hint="eastAsia" w:ascii="仿宋_GB2312" w:hAnsi="宋体" w:eastAsia="仿宋_GB2312"/>
          <w:b/>
          <w:bCs/>
          <w:color w:val="auto"/>
          <w:sz w:val="28"/>
          <w:szCs w:val="28"/>
          <w:highlight w:val="none"/>
        </w:rPr>
        <w:t>社会保险领域严重失信行为</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（一）用人单位未按相关规定参加社会保险且拒不整改的；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（二）用人单位未如实申报社会保险缴费基数且拒不整改的；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（三）应缴纳社会保险费却拒不缴纳的；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（四）隐匿、转移、侵占、挪用社会保险费款、基金或者违规投资运营的；</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（五）以欺诈、伪造证明材料或者其他手段参加、申报社会保险和骗取社会保险基金支出或社会保险待遇的；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（六）非法获取、出售或变相交易社会保险个人权益数据的；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（七）社会保险服务机构违反服务协议或相关规定的；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 xml:space="preserve">（八）拒绝协助社会保险行政部门、经办机构对事故和问题进 行调查核实的；拒绝接受或协助税务部门对社会保险实施监督检查， 不如实提供与社会保险相关各项资料的； </w:t>
      </w:r>
    </w:p>
    <w:p>
      <w:pPr>
        <w:adjustRightInd w:val="0"/>
        <w:snapToGrid w:val="0"/>
        <w:spacing w:line="560" w:lineRule="exact"/>
        <w:ind w:left="141" w:leftChars="67" w:firstLine="420" w:firstLineChars="15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（九）其他违反法律法规规定的。</w:t>
      </w:r>
    </w:p>
    <w:p>
      <w:pPr>
        <w:adjustRightInd w:val="0"/>
        <w:snapToGrid w:val="0"/>
        <w:spacing w:line="560" w:lineRule="exact"/>
        <w:ind w:firstLine="551" w:firstLineChars="196"/>
        <w:jc w:val="left"/>
        <w:rPr>
          <w:rFonts w:hint="eastAsia" w:ascii="仿宋_GB2312" w:hAnsi="Calibri" w:eastAsia="仿宋_GB2312"/>
          <w:color w:val="auto"/>
          <w:sz w:val="28"/>
          <w:szCs w:val="28"/>
          <w:highlight w:val="none"/>
        </w:rPr>
      </w:pPr>
      <w:r>
        <w:rPr>
          <w:rFonts w:hint="eastAsia" w:ascii="仿宋_GB2312" w:hAnsi="Calibri" w:eastAsia="仿宋_GB2312"/>
          <w:b/>
          <w:color w:val="auto"/>
          <w:sz w:val="28"/>
          <w:szCs w:val="28"/>
          <w:highlight w:val="none"/>
        </w:rPr>
        <w:t>依据：《关于对社会保险领域严重失信企业及其有关人员实施联合惩戒的合作备忘录》（发改财金〔2018〕1704号）</w:t>
      </w:r>
    </w:p>
    <w:p>
      <w:pPr>
        <w:adjustRightInd w:val="0"/>
        <w:snapToGrid w:val="0"/>
        <w:spacing w:line="560" w:lineRule="exact"/>
        <w:jc w:val="lef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     </w:t>
      </w:r>
    </w:p>
    <w:p>
      <w:pPr>
        <w:adjustRightInd w:val="0"/>
        <w:snapToGrid w:val="0"/>
        <w:spacing w:line="560" w:lineRule="exact"/>
        <w:ind w:firstLine="562" w:firstLineChars="200"/>
        <w:jc w:val="left"/>
        <w:rPr>
          <w:rFonts w:hint="eastAsia" w:ascii="仿宋_GB2312" w:hAnsi="宋体" w:eastAsia="仿宋_GB2312"/>
          <w:b/>
          <w:bCs/>
          <w:color w:val="auto"/>
          <w:sz w:val="28"/>
          <w:szCs w:val="28"/>
          <w:highlight w:val="none"/>
        </w:rPr>
      </w:pPr>
      <w:r>
        <w:rPr>
          <w:rFonts w:hint="eastAsia" w:ascii="仿宋_GB2312" w:hAnsi="宋体" w:eastAsia="仿宋_GB2312"/>
          <w:b/>
          <w:color w:val="auto"/>
          <w:sz w:val="28"/>
          <w:szCs w:val="28"/>
          <w:highlight w:val="none"/>
        </w:rPr>
        <w:t>五、建筑市场领域</w:t>
      </w:r>
      <w:r>
        <w:rPr>
          <w:rFonts w:hint="eastAsia" w:ascii="仿宋_GB2312" w:hAnsi="宋体" w:eastAsia="仿宋_GB2312"/>
          <w:b/>
          <w:bCs/>
          <w:color w:val="auto"/>
          <w:sz w:val="28"/>
          <w:szCs w:val="28"/>
          <w:highlight w:val="none"/>
        </w:rPr>
        <w:t>严重失信行为</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（一）利用虚假材料、以欺骗手段取得企业资质的；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（二）发生转包、出借资质，受到行政处罚的；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（三）发生重大及以上工程质量安全事故，或1年内累计发生2次及以上较大工程质量安全事故，或发生性质恶劣、危害性严重、社会影响大的较大工程质量安全事故，受到行政处罚的；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（四）经法院判决或仲裁机构裁决，认定为拖欠工程款,且拒不履行生效法律文书确定的义务的。</w:t>
      </w:r>
    </w:p>
    <w:p>
      <w:pPr>
        <w:adjustRightInd w:val="0"/>
        <w:snapToGrid w:val="0"/>
        <w:spacing w:line="560" w:lineRule="exact"/>
        <w:ind w:firstLine="560" w:firstLineChars="200"/>
        <w:jc w:val="left"/>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各级住房城乡建设主管部门应当参照建筑市场主体“黑名单”，对被人力资源社会保障行政部门列入拖欠农民工工资“黑名单”的建筑市场各方主体加强监管。</w:t>
      </w:r>
    </w:p>
    <w:p>
      <w:pPr>
        <w:ind w:firstLine="562" w:firstLineChars="200"/>
        <w:jc w:val="left"/>
        <w:rPr>
          <w:rFonts w:hint="eastAsia" w:ascii="宋体" w:hAnsi="宋体"/>
          <w:color w:val="auto"/>
          <w:sz w:val="28"/>
          <w:szCs w:val="28"/>
          <w:highlight w:val="none"/>
        </w:rPr>
      </w:pPr>
      <w:r>
        <w:rPr>
          <w:rFonts w:hint="eastAsia" w:ascii="仿宋_GB2312" w:hAnsi="Calibri" w:eastAsia="仿宋_GB2312"/>
          <w:b/>
          <w:color w:val="auto"/>
          <w:sz w:val="28"/>
          <w:szCs w:val="28"/>
          <w:highlight w:val="none"/>
        </w:rPr>
        <w:t>依据：《</w:t>
      </w:r>
      <w:bookmarkStart w:id="965" w:name="OLE_LINK18"/>
      <w:r>
        <w:rPr>
          <w:rFonts w:hint="eastAsia" w:ascii="仿宋_GB2312" w:hAnsi="Calibri" w:eastAsia="仿宋_GB2312"/>
          <w:b/>
          <w:color w:val="auto"/>
          <w:sz w:val="28"/>
          <w:szCs w:val="28"/>
          <w:highlight w:val="none"/>
        </w:rPr>
        <w:t>建筑市场信用管理暂行办法</w:t>
      </w:r>
      <w:bookmarkEnd w:id="965"/>
      <w:r>
        <w:rPr>
          <w:rFonts w:hint="eastAsia" w:ascii="仿宋_GB2312" w:hAnsi="Calibri" w:eastAsia="仿宋_GB2312"/>
          <w:b/>
          <w:color w:val="auto"/>
          <w:sz w:val="28"/>
          <w:szCs w:val="28"/>
          <w:highlight w:val="none"/>
        </w:rPr>
        <w:t>》（建市〔2017〕241号）</w:t>
      </w:r>
    </w:p>
    <w:p>
      <w:pPr>
        <w:adjustRightInd w:val="0"/>
        <w:snapToGrid w:val="0"/>
        <w:spacing w:line="560" w:lineRule="exact"/>
        <w:rPr>
          <w:rFonts w:hint="eastAsia" w:ascii="仿宋_GB2312" w:hAnsi="宋体" w:eastAsia="仿宋_GB2312"/>
          <w:b/>
          <w:color w:val="auto"/>
          <w:sz w:val="28"/>
          <w:szCs w:val="28"/>
          <w:highlight w:val="none"/>
        </w:rPr>
      </w:pPr>
    </w:p>
    <w:p>
      <w:pPr>
        <w:adjustRightInd w:val="0"/>
        <w:snapToGrid w:val="0"/>
        <w:spacing w:line="560" w:lineRule="exact"/>
        <w:ind w:firstLine="562" w:firstLineChars="200"/>
        <w:rPr>
          <w:rFonts w:hint="eastAsia"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rPr>
        <w:t>六、</w:t>
      </w:r>
      <w:bookmarkStart w:id="966" w:name="OLE_LINK19"/>
      <w:bookmarkStart w:id="967" w:name="OLE_LINK20"/>
      <w:r>
        <w:rPr>
          <w:rFonts w:hint="eastAsia" w:ascii="仿宋_GB2312" w:hAnsi="宋体" w:eastAsia="仿宋_GB2312"/>
          <w:b/>
          <w:color w:val="auto"/>
          <w:sz w:val="28"/>
          <w:szCs w:val="28"/>
          <w:highlight w:val="none"/>
        </w:rPr>
        <w:t>政府采购严重失信行为</w:t>
      </w:r>
      <w:bookmarkEnd w:id="966"/>
      <w:bookmarkEnd w:id="967"/>
    </w:p>
    <w:p>
      <w:pPr>
        <w:adjustRightInd w:val="0"/>
        <w:snapToGrid w:val="0"/>
        <w:spacing w:line="560" w:lineRule="exact"/>
        <w:ind w:firstLine="615"/>
        <w:rPr>
          <w:rFonts w:hint="eastAsia" w:ascii="仿宋_GB2312" w:hAnsi="Calibri" w:eastAsia="仿宋_GB2312"/>
          <w:color w:val="auto"/>
          <w:sz w:val="28"/>
          <w:szCs w:val="28"/>
          <w:highlight w:val="none"/>
        </w:rPr>
      </w:pPr>
      <w:r>
        <w:rPr>
          <w:rFonts w:hint="eastAsia" w:ascii="仿宋_GB2312" w:hAnsi="Calibri" w:eastAsia="仿宋_GB2312"/>
          <w:color w:val="auto"/>
          <w:sz w:val="28"/>
          <w:szCs w:val="28"/>
          <w:highlight w:val="none"/>
        </w:rPr>
        <w:t>供应商、采购代理机构在三年内受到财政部门作出下列情形之一的行政处罚，列入政府采购严重违法失信行为记录名单。</w:t>
      </w:r>
      <w:r>
        <w:rPr>
          <w:rFonts w:hint="eastAsia" w:ascii="仿宋_GB2312" w:hAnsi="Calibri" w:eastAsia="仿宋_GB2312"/>
          <w:color w:val="auto"/>
          <w:sz w:val="28"/>
          <w:szCs w:val="28"/>
          <w:highlight w:val="none"/>
        </w:rPr>
        <w:br w:type="textWrapping"/>
      </w:r>
      <w:r>
        <w:rPr>
          <w:rFonts w:hint="eastAsia" w:ascii="仿宋_GB2312" w:hAnsi="Calibri" w:eastAsia="仿宋_GB2312"/>
          <w:color w:val="auto"/>
          <w:sz w:val="28"/>
          <w:szCs w:val="28"/>
          <w:highlight w:val="none"/>
        </w:rPr>
        <w:t>　　（一）三万元以上罚款；</w:t>
      </w:r>
      <w:r>
        <w:rPr>
          <w:rFonts w:hint="eastAsia" w:ascii="仿宋_GB2312" w:hAnsi="Calibri" w:eastAsia="仿宋_GB2312"/>
          <w:color w:val="auto"/>
          <w:sz w:val="28"/>
          <w:szCs w:val="28"/>
          <w:highlight w:val="none"/>
        </w:rPr>
        <w:br w:type="textWrapping"/>
      </w:r>
      <w:r>
        <w:rPr>
          <w:rFonts w:hint="eastAsia" w:ascii="仿宋_GB2312" w:hAnsi="Calibri" w:eastAsia="仿宋_GB2312"/>
          <w:color w:val="auto"/>
          <w:sz w:val="28"/>
          <w:szCs w:val="28"/>
          <w:highlight w:val="none"/>
        </w:rPr>
        <w:t>　　（二）在一至三年内禁止参加政府采购活动（处罚期限届满的除外）；</w:t>
      </w:r>
      <w:r>
        <w:rPr>
          <w:rFonts w:hint="eastAsia" w:ascii="仿宋_GB2312" w:hAnsi="Calibri" w:eastAsia="仿宋_GB2312"/>
          <w:color w:val="auto"/>
          <w:sz w:val="28"/>
          <w:szCs w:val="28"/>
          <w:highlight w:val="none"/>
        </w:rPr>
        <w:br w:type="textWrapping"/>
      </w:r>
      <w:r>
        <w:rPr>
          <w:rFonts w:hint="eastAsia" w:ascii="仿宋_GB2312" w:hAnsi="Calibri" w:eastAsia="仿宋_GB2312"/>
          <w:color w:val="auto"/>
          <w:sz w:val="28"/>
          <w:szCs w:val="28"/>
          <w:highlight w:val="none"/>
        </w:rPr>
        <w:t>　　（三）在一至三年内禁止代理政府采购业务（处罚期限届满的除外）；</w:t>
      </w:r>
      <w:r>
        <w:rPr>
          <w:rFonts w:hint="eastAsia" w:ascii="仿宋_GB2312" w:hAnsi="Calibri" w:eastAsia="仿宋_GB2312"/>
          <w:color w:val="auto"/>
          <w:sz w:val="28"/>
          <w:szCs w:val="28"/>
          <w:highlight w:val="none"/>
        </w:rPr>
        <w:br w:type="textWrapping"/>
      </w:r>
      <w:r>
        <w:rPr>
          <w:rFonts w:hint="eastAsia" w:ascii="仿宋_GB2312" w:hAnsi="宋体" w:eastAsia="仿宋_GB2312"/>
          <w:color w:val="auto"/>
          <w:sz w:val="28"/>
          <w:szCs w:val="28"/>
          <w:highlight w:val="none"/>
        </w:rPr>
        <w:t xml:space="preserve">　 </w:t>
      </w:r>
      <w:r>
        <w:rPr>
          <w:rFonts w:hint="eastAsia" w:ascii="仿宋_GB2312" w:hAnsi="Calibri" w:eastAsia="仿宋_GB2312"/>
          <w:color w:val="auto"/>
          <w:sz w:val="28"/>
          <w:szCs w:val="28"/>
          <w:highlight w:val="none"/>
        </w:rPr>
        <w:t>（四）撤销政府采购代理机构资格（仅针对《政府采购法》第78条修改前作出的处罚决定）。</w:t>
      </w:r>
    </w:p>
    <w:p>
      <w:pPr>
        <w:adjustRightInd w:val="0"/>
        <w:snapToGrid w:val="0"/>
        <w:spacing w:line="560" w:lineRule="exact"/>
        <w:ind w:firstLine="562" w:firstLineChars="200"/>
        <w:jc w:val="left"/>
        <w:rPr>
          <w:rFonts w:hint="eastAsia" w:ascii="仿宋_GB2312" w:hAnsi="Calibri" w:eastAsia="仿宋_GB2312"/>
          <w:b/>
          <w:color w:val="auto"/>
          <w:sz w:val="28"/>
          <w:szCs w:val="28"/>
          <w:highlight w:val="none"/>
        </w:rPr>
      </w:pPr>
      <w:r>
        <w:rPr>
          <w:rFonts w:hint="eastAsia" w:ascii="仿宋_GB2312" w:hAnsi="Calibri" w:eastAsia="仿宋_GB2312"/>
          <w:b/>
          <w:color w:val="auto"/>
          <w:sz w:val="28"/>
          <w:szCs w:val="28"/>
          <w:highlight w:val="none"/>
        </w:rPr>
        <w:t>依据：《关于报送政府采购严重违法失信行为信息记录的通知》</w:t>
      </w:r>
      <w:r>
        <w:rPr>
          <w:rFonts w:hint="eastAsia" w:ascii="Calibri" w:hAnsi="Calibri"/>
          <w:b/>
          <w:color w:val="auto"/>
          <w:sz w:val="28"/>
          <w:szCs w:val="28"/>
          <w:highlight w:val="none"/>
        </w:rPr>
        <w:t>（财办库〔</w:t>
      </w:r>
      <w:r>
        <w:rPr>
          <w:rFonts w:ascii="Calibri" w:hAnsi="Calibri"/>
          <w:b/>
          <w:color w:val="auto"/>
          <w:sz w:val="28"/>
          <w:szCs w:val="28"/>
          <w:highlight w:val="none"/>
        </w:rPr>
        <w:t>20</w:t>
      </w:r>
      <w:bookmarkStart w:id="968" w:name="_GoBack"/>
      <w:bookmarkEnd w:id="968"/>
      <w:r>
        <w:rPr>
          <w:rFonts w:ascii="Calibri" w:hAnsi="Calibri"/>
          <w:b/>
          <w:color w:val="auto"/>
          <w:sz w:val="28"/>
          <w:szCs w:val="28"/>
          <w:highlight w:val="none"/>
        </w:rPr>
        <w:t>14</w:t>
      </w:r>
      <w:r>
        <w:rPr>
          <w:rFonts w:hint="eastAsia" w:ascii="Calibri" w:hAnsi="Calibri"/>
          <w:b/>
          <w:color w:val="auto"/>
          <w:sz w:val="28"/>
          <w:szCs w:val="28"/>
          <w:highlight w:val="none"/>
        </w:rPr>
        <w:t>〕</w:t>
      </w:r>
      <w:r>
        <w:rPr>
          <w:rFonts w:ascii="Calibri" w:hAnsi="Calibri"/>
          <w:b/>
          <w:color w:val="auto"/>
          <w:sz w:val="28"/>
          <w:szCs w:val="28"/>
          <w:highlight w:val="none"/>
        </w:rPr>
        <w:t>526</w:t>
      </w:r>
      <w:r>
        <w:rPr>
          <w:rFonts w:hint="eastAsia" w:ascii="Calibri" w:hAnsi="Calibri"/>
          <w:b/>
          <w:color w:val="auto"/>
          <w:sz w:val="28"/>
          <w:szCs w:val="28"/>
          <w:highlight w:val="none"/>
        </w:rPr>
        <w:t>号）</w:t>
      </w:r>
    </w:p>
    <w:p>
      <w:pPr>
        <w:adjustRightInd w:val="0"/>
        <w:snapToGrid w:val="0"/>
        <w:spacing w:line="560" w:lineRule="exact"/>
        <w:rPr>
          <w:rFonts w:hint="eastAsia" w:ascii="仿宋_GB2312" w:hAnsi="宋体" w:eastAsia="仿宋_GB2312"/>
          <w:b/>
          <w:color w:val="auto"/>
          <w:sz w:val="28"/>
          <w:szCs w:val="28"/>
          <w:highlight w:val="none"/>
        </w:rPr>
      </w:pPr>
    </w:p>
    <w:p>
      <w:pPr>
        <w:adjustRightInd w:val="0"/>
        <w:snapToGrid w:val="0"/>
        <w:spacing w:line="560" w:lineRule="exact"/>
        <w:ind w:firstLine="615"/>
        <w:rPr>
          <w:rFonts w:hint="eastAsia" w:ascii="仿宋_GB2312" w:hAnsi="Calibri" w:eastAsia="仿宋_GB2312"/>
          <w:b/>
          <w:color w:val="auto"/>
          <w:sz w:val="32"/>
          <w:szCs w:val="32"/>
          <w:highlight w:val="none"/>
        </w:rPr>
      </w:pPr>
      <w:r>
        <w:rPr>
          <w:rFonts w:hint="eastAsia" w:ascii="仿宋_GB2312" w:hAnsi="宋体" w:eastAsia="仿宋_GB2312"/>
          <w:b/>
          <w:color w:val="auto"/>
          <w:sz w:val="28"/>
          <w:szCs w:val="28"/>
          <w:highlight w:val="none"/>
        </w:rPr>
        <w:t>未列出的其他类别严重失信行为，由招标人（代理机构）根据各类别行业主管部门下发的联合惩戒文件进行判</w:t>
      </w:r>
      <w:r>
        <w:rPr>
          <w:rFonts w:hint="eastAsia" w:ascii="仿宋_GB2312" w:hAnsi="宋体" w:eastAsia="仿宋_GB2312"/>
          <w:b/>
          <w:color w:val="auto"/>
          <w:sz w:val="32"/>
          <w:szCs w:val="32"/>
          <w:highlight w:val="none"/>
        </w:rPr>
        <w:t>断。</w:t>
      </w:r>
    </w:p>
    <w:p>
      <w:pPr>
        <w:pStyle w:val="2"/>
        <w:rPr>
          <w:color w:val="auto"/>
          <w:highlight w:val="none"/>
        </w:rPr>
      </w:pPr>
    </w:p>
    <w:sectPr>
      <w:headerReference r:id="rId7" w:type="default"/>
      <w:footerReference r:id="rId8" w:type="default"/>
      <w:pgSz w:w="11906" w:h="16838"/>
      <w:pgMar w:top="1134" w:right="1417" w:bottom="113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1"/>
      </w:rPr>
    </w:pPr>
  </w:p>
  <w:p>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1"/>
      </w:rPr>
    </w:pPr>
  </w:p>
  <w:p>
    <w:pPr>
      <w:pStyle w:val="2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p>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5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33</w:t>
                    </w:r>
                    <w:r>
                      <w:fldChar w:fldCharType="end"/>
                    </w:r>
                  </w:p>
                </w:txbxContent>
              </v:textbox>
            </v:shape>
          </w:pict>
        </mc:Fallback>
      </mc:AlternateContent>
    </w:r>
  </w:p>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YTc3NzczMDk3NGU3OWJiNzU2OWMwYTczYzQ1NzMifQ=="/>
  </w:docVars>
  <w:rsids>
    <w:rsidRoot w:val="00172A27"/>
    <w:rsid w:val="0000197A"/>
    <w:rsid w:val="00002E1B"/>
    <w:rsid w:val="000046EA"/>
    <w:rsid w:val="00004E34"/>
    <w:rsid w:val="00005CD8"/>
    <w:rsid w:val="00006123"/>
    <w:rsid w:val="000070B7"/>
    <w:rsid w:val="0000758B"/>
    <w:rsid w:val="00010F4B"/>
    <w:rsid w:val="0001111D"/>
    <w:rsid w:val="00011A14"/>
    <w:rsid w:val="00012844"/>
    <w:rsid w:val="00012D1D"/>
    <w:rsid w:val="00017114"/>
    <w:rsid w:val="00017EFA"/>
    <w:rsid w:val="00020FE0"/>
    <w:rsid w:val="00021BDB"/>
    <w:rsid w:val="000225E0"/>
    <w:rsid w:val="00022A89"/>
    <w:rsid w:val="00023D05"/>
    <w:rsid w:val="00026E12"/>
    <w:rsid w:val="000273CC"/>
    <w:rsid w:val="000330C1"/>
    <w:rsid w:val="000335C0"/>
    <w:rsid w:val="00034C73"/>
    <w:rsid w:val="0003719A"/>
    <w:rsid w:val="00037B93"/>
    <w:rsid w:val="00040224"/>
    <w:rsid w:val="0004332D"/>
    <w:rsid w:val="00044907"/>
    <w:rsid w:val="0004695D"/>
    <w:rsid w:val="00046C34"/>
    <w:rsid w:val="00057DBF"/>
    <w:rsid w:val="000617FE"/>
    <w:rsid w:val="0006411D"/>
    <w:rsid w:val="000642AF"/>
    <w:rsid w:val="00066792"/>
    <w:rsid w:val="00072090"/>
    <w:rsid w:val="00076B75"/>
    <w:rsid w:val="00076F1D"/>
    <w:rsid w:val="00077234"/>
    <w:rsid w:val="000837EF"/>
    <w:rsid w:val="00083ADA"/>
    <w:rsid w:val="0008659F"/>
    <w:rsid w:val="00086C18"/>
    <w:rsid w:val="00090A07"/>
    <w:rsid w:val="00090F90"/>
    <w:rsid w:val="00093100"/>
    <w:rsid w:val="000939B1"/>
    <w:rsid w:val="00094E9D"/>
    <w:rsid w:val="000A078C"/>
    <w:rsid w:val="000A11AD"/>
    <w:rsid w:val="000A2C9F"/>
    <w:rsid w:val="000A475B"/>
    <w:rsid w:val="000A65EE"/>
    <w:rsid w:val="000B0DC9"/>
    <w:rsid w:val="000B3A75"/>
    <w:rsid w:val="000B4B76"/>
    <w:rsid w:val="000B547D"/>
    <w:rsid w:val="000B7A7E"/>
    <w:rsid w:val="000B7EE6"/>
    <w:rsid w:val="000C10AA"/>
    <w:rsid w:val="000C26FD"/>
    <w:rsid w:val="000D08DE"/>
    <w:rsid w:val="000D203E"/>
    <w:rsid w:val="000D2C3D"/>
    <w:rsid w:val="000D2ECE"/>
    <w:rsid w:val="000D4E9E"/>
    <w:rsid w:val="000D7F9C"/>
    <w:rsid w:val="000E0020"/>
    <w:rsid w:val="000E1F7F"/>
    <w:rsid w:val="000E227E"/>
    <w:rsid w:val="000E24EC"/>
    <w:rsid w:val="000E3D3D"/>
    <w:rsid w:val="000F7312"/>
    <w:rsid w:val="000F740E"/>
    <w:rsid w:val="00104E44"/>
    <w:rsid w:val="001063CB"/>
    <w:rsid w:val="0011140E"/>
    <w:rsid w:val="00114707"/>
    <w:rsid w:val="00115943"/>
    <w:rsid w:val="00116988"/>
    <w:rsid w:val="00120E5D"/>
    <w:rsid w:val="00125553"/>
    <w:rsid w:val="0012738D"/>
    <w:rsid w:val="00130FBA"/>
    <w:rsid w:val="00131494"/>
    <w:rsid w:val="00132E3D"/>
    <w:rsid w:val="0014049F"/>
    <w:rsid w:val="00140BFD"/>
    <w:rsid w:val="00142868"/>
    <w:rsid w:val="00146B5E"/>
    <w:rsid w:val="0015292B"/>
    <w:rsid w:val="0015363F"/>
    <w:rsid w:val="00154C59"/>
    <w:rsid w:val="00155F6F"/>
    <w:rsid w:val="001564C3"/>
    <w:rsid w:val="001620D9"/>
    <w:rsid w:val="0016514F"/>
    <w:rsid w:val="00165414"/>
    <w:rsid w:val="00165F97"/>
    <w:rsid w:val="00167090"/>
    <w:rsid w:val="00167507"/>
    <w:rsid w:val="00172A27"/>
    <w:rsid w:val="00173108"/>
    <w:rsid w:val="00173D37"/>
    <w:rsid w:val="00174E43"/>
    <w:rsid w:val="0018238C"/>
    <w:rsid w:val="00182D4C"/>
    <w:rsid w:val="001834BA"/>
    <w:rsid w:val="001843D3"/>
    <w:rsid w:val="00184866"/>
    <w:rsid w:val="00185DBC"/>
    <w:rsid w:val="001867E2"/>
    <w:rsid w:val="001919D1"/>
    <w:rsid w:val="00191DD8"/>
    <w:rsid w:val="00193AE6"/>
    <w:rsid w:val="00194AEF"/>
    <w:rsid w:val="001963BD"/>
    <w:rsid w:val="001A120B"/>
    <w:rsid w:val="001A184C"/>
    <w:rsid w:val="001A274E"/>
    <w:rsid w:val="001A2C88"/>
    <w:rsid w:val="001A37E0"/>
    <w:rsid w:val="001A3EC9"/>
    <w:rsid w:val="001A50F2"/>
    <w:rsid w:val="001A6EF7"/>
    <w:rsid w:val="001B1DF0"/>
    <w:rsid w:val="001B21A5"/>
    <w:rsid w:val="001B45D5"/>
    <w:rsid w:val="001B4675"/>
    <w:rsid w:val="001B4BDE"/>
    <w:rsid w:val="001B59E9"/>
    <w:rsid w:val="001B62B0"/>
    <w:rsid w:val="001B6A78"/>
    <w:rsid w:val="001C1FC2"/>
    <w:rsid w:val="001C4E01"/>
    <w:rsid w:val="001C7AB4"/>
    <w:rsid w:val="001D0C94"/>
    <w:rsid w:val="001D3498"/>
    <w:rsid w:val="001E1380"/>
    <w:rsid w:val="001E5247"/>
    <w:rsid w:val="001F23AB"/>
    <w:rsid w:val="001F32ED"/>
    <w:rsid w:val="001F4F95"/>
    <w:rsid w:val="001F7E70"/>
    <w:rsid w:val="00200459"/>
    <w:rsid w:val="00202DB7"/>
    <w:rsid w:val="00207065"/>
    <w:rsid w:val="00207999"/>
    <w:rsid w:val="00212D04"/>
    <w:rsid w:val="00213FCA"/>
    <w:rsid w:val="00214988"/>
    <w:rsid w:val="00214B43"/>
    <w:rsid w:val="00214F76"/>
    <w:rsid w:val="002202CE"/>
    <w:rsid w:val="0022219A"/>
    <w:rsid w:val="00222521"/>
    <w:rsid w:val="00227461"/>
    <w:rsid w:val="0022783F"/>
    <w:rsid w:val="00230392"/>
    <w:rsid w:val="00230583"/>
    <w:rsid w:val="00230A2B"/>
    <w:rsid w:val="00231547"/>
    <w:rsid w:val="002334EC"/>
    <w:rsid w:val="00235B32"/>
    <w:rsid w:val="00236AD7"/>
    <w:rsid w:val="00237688"/>
    <w:rsid w:val="00240423"/>
    <w:rsid w:val="00243B18"/>
    <w:rsid w:val="00246AD7"/>
    <w:rsid w:val="00246B91"/>
    <w:rsid w:val="00247A64"/>
    <w:rsid w:val="00250013"/>
    <w:rsid w:val="00250BCF"/>
    <w:rsid w:val="00253591"/>
    <w:rsid w:val="00255670"/>
    <w:rsid w:val="00256780"/>
    <w:rsid w:val="00262ABE"/>
    <w:rsid w:val="002657EE"/>
    <w:rsid w:val="00276F57"/>
    <w:rsid w:val="00277D06"/>
    <w:rsid w:val="002816D4"/>
    <w:rsid w:val="00286980"/>
    <w:rsid w:val="002928CE"/>
    <w:rsid w:val="00292C87"/>
    <w:rsid w:val="0029757E"/>
    <w:rsid w:val="002A1A66"/>
    <w:rsid w:val="002A39EF"/>
    <w:rsid w:val="002A599F"/>
    <w:rsid w:val="002A6E04"/>
    <w:rsid w:val="002B4BA8"/>
    <w:rsid w:val="002B7071"/>
    <w:rsid w:val="002B7117"/>
    <w:rsid w:val="002B714A"/>
    <w:rsid w:val="002B718A"/>
    <w:rsid w:val="002B7621"/>
    <w:rsid w:val="002C2E22"/>
    <w:rsid w:val="002C4A57"/>
    <w:rsid w:val="002C528E"/>
    <w:rsid w:val="002C5643"/>
    <w:rsid w:val="002E13EC"/>
    <w:rsid w:val="002E41CC"/>
    <w:rsid w:val="002F05E9"/>
    <w:rsid w:val="002F2C99"/>
    <w:rsid w:val="002F3D6A"/>
    <w:rsid w:val="002F794D"/>
    <w:rsid w:val="003029B3"/>
    <w:rsid w:val="00303019"/>
    <w:rsid w:val="00306787"/>
    <w:rsid w:val="00306966"/>
    <w:rsid w:val="0031113D"/>
    <w:rsid w:val="00311AAC"/>
    <w:rsid w:val="00313CA4"/>
    <w:rsid w:val="00314E82"/>
    <w:rsid w:val="003150CE"/>
    <w:rsid w:val="00315FF9"/>
    <w:rsid w:val="00316270"/>
    <w:rsid w:val="00321598"/>
    <w:rsid w:val="00321FDB"/>
    <w:rsid w:val="00323870"/>
    <w:rsid w:val="00323FFD"/>
    <w:rsid w:val="00324847"/>
    <w:rsid w:val="00324A5E"/>
    <w:rsid w:val="00325624"/>
    <w:rsid w:val="0032611D"/>
    <w:rsid w:val="003264EB"/>
    <w:rsid w:val="00326940"/>
    <w:rsid w:val="00330CCD"/>
    <w:rsid w:val="00332891"/>
    <w:rsid w:val="00332BBD"/>
    <w:rsid w:val="00333810"/>
    <w:rsid w:val="003343C0"/>
    <w:rsid w:val="00340804"/>
    <w:rsid w:val="00342D97"/>
    <w:rsid w:val="00343375"/>
    <w:rsid w:val="003448C2"/>
    <w:rsid w:val="00344CD6"/>
    <w:rsid w:val="0034662F"/>
    <w:rsid w:val="003510D2"/>
    <w:rsid w:val="00351A8E"/>
    <w:rsid w:val="0035447B"/>
    <w:rsid w:val="00356B27"/>
    <w:rsid w:val="00356B90"/>
    <w:rsid w:val="00357C8A"/>
    <w:rsid w:val="00360C29"/>
    <w:rsid w:val="0036101B"/>
    <w:rsid w:val="003613C6"/>
    <w:rsid w:val="00361CBA"/>
    <w:rsid w:val="00362EE3"/>
    <w:rsid w:val="0036593D"/>
    <w:rsid w:val="00366951"/>
    <w:rsid w:val="00370107"/>
    <w:rsid w:val="003720A1"/>
    <w:rsid w:val="003745F9"/>
    <w:rsid w:val="00376808"/>
    <w:rsid w:val="0037767C"/>
    <w:rsid w:val="003817E6"/>
    <w:rsid w:val="00381E22"/>
    <w:rsid w:val="0038244A"/>
    <w:rsid w:val="00382545"/>
    <w:rsid w:val="00383221"/>
    <w:rsid w:val="00384090"/>
    <w:rsid w:val="003844ED"/>
    <w:rsid w:val="00386132"/>
    <w:rsid w:val="003871B4"/>
    <w:rsid w:val="00393016"/>
    <w:rsid w:val="00394BA5"/>
    <w:rsid w:val="00394D82"/>
    <w:rsid w:val="003A70F7"/>
    <w:rsid w:val="003B39C6"/>
    <w:rsid w:val="003B4CDE"/>
    <w:rsid w:val="003B5919"/>
    <w:rsid w:val="003B7075"/>
    <w:rsid w:val="003B7983"/>
    <w:rsid w:val="003C24F4"/>
    <w:rsid w:val="003C4452"/>
    <w:rsid w:val="003C4CBD"/>
    <w:rsid w:val="003C7646"/>
    <w:rsid w:val="003D0BFC"/>
    <w:rsid w:val="003D206A"/>
    <w:rsid w:val="003D27B4"/>
    <w:rsid w:val="003D34ED"/>
    <w:rsid w:val="003D60ED"/>
    <w:rsid w:val="003D7852"/>
    <w:rsid w:val="003E0F27"/>
    <w:rsid w:val="003E15AB"/>
    <w:rsid w:val="003E3274"/>
    <w:rsid w:val="003E441B"/>
    <w:rsid w:val="003E528B"/>
    <w:rsid w:val="003E62C9"/>
    <w:rsid w:val="003E64A4"/>
    <w:rsid w:val="003F1184"/>
    <w:rsid w:val="003F19CD"/>
    <w:rsid w:val="003F34D1"/>
    <w:rsid w:val="003F5214"/>
    <w:rsid w:val="003F56BE"/>
    <w:rsid w:val="003F72A7"/>
    <w:rsid w:val="00403578"/>
    <w:rsid w:val="0040419B"/>
    <w:rsid w:val="00404AFD"/>
    <w:rsid w:val="0041061A"/>
    <w:rsid w:val="00411B9C"/>
    <w:rsid w:val="004139CC"/>
    <w:rsid w:val="00416BD0"/>
    <w:rsid w:val="004179E4"/>
    <w:rsid w:val="00422908"/>
    <w:rsid w:val="0042416B"/>
    <w:rsid w:val="004249BA"/>
    <w:rsid w:val="0042531B"/>
    <w:rsid w:val="004306D8"/>
    <w:rsid w:val="00430F18"/>
    <w:rsid w:val="00432BC1"/>
    <w:rsid w:val="00433924"/>
    <w:rsid w:val="00434AAC"/>
    <w:rsid w:val="0043512B"/>
    <w:rsid w:val="00435537"/>
    <w:rsid w:val="004355FE"/>
    <w:rsid w:val="00441E58"/>
    <w:rsid w:val="00445715"/>
    <w:rsid w:val="00445E0F"/>
    <w:rsid w:val="00446179"/>
    <w:rsid w:val="004506F7"/>
    <w:rsid w:val="0045199B"/>
    <w:rsid w:val="00451F70"/>
    <w:rsid w:val="00454C0F"/>
    <w:rsid w:val="00454F95"/>
    <w:rsid w:val="004571AF"/>
    <w:rsid w:val="00462043"/>
    <w:rsid w:val="0046380E"/>
    <w:rsid w:val="00466093"/>
    <w:rsid w:val="004712B0"/>
    <w:rsid w:val="00471B5C"/>
    <w:rsid w:val="00473006"/>
    <w:rsid w:val="00473509"/>
    <w:rsid w:val="00473BA0"/>
    <w:rsid w:val="00474B17"/>
    <w:rsid w:val="0047678B"/>
    <w:rsid w:val="00477FF4"/>
    <w:rsid w:val="00482303"/>
    <w:rsid w:val="00487C57"/>
    <w:rsid w:val="00494CD7"/>
    <w:rsid w:val="004A3117"/>
    <w:rsid w:val="004A394F"/>
    <w:rsid w:val="004A7299"/>
    <w:rsid w:val="004B15C6"/>
    <w:rsid w:val="004C0130"/>
    <w:rsid w:val="004C1E7E"/>
    <w:rsid w:val="004C2BF2"/>
    <w:rsid w:val="004C4C36"/>
    <w:rsid w:val="004C791A"/>
    <w:rsid w:val="004D0871"/>
    <w:rsid w:val="004D31D7"/>
    <w:rsid w:val="004D6B92"/>
    <w:rsid w:val="004E085C"/>
    <w:rsid w:val="004E0F8D"/>
    <w:rsid w:val="004F0E30"/>
    <w:rsid w:val="004F1D3D"/>
    <w:rsid w:val="004F3C9D"/>
    <w:rsid w:val="004F5CF2"/>
    <w:rsid w:val="004F77A5"/>
    <w:rsid w:val="00504F99"/>
    <w:rsid w:val="00505F69"/>
    <w:rsid w:val="005078D7"/>
    <w:rsid w:val="00510F89"/>
    <w:rsid w:val="00512B81"/>
    <w:rsid w:val="00513D1E"/>
    <w:rsid w:val="0052022B"/>
    <w:rsid w:val="005212B3"/>
    <w:rsid w:val="00525D5C"/>
    <w:rsid w:val="00526B90"/>
    <w:rsid w:val="00527D18"/>
    <w:rsid w:val="005324F1"/>
    <w:rsid w:val="005345CF"/>
    <w:rsid w:val="00534798"/>
    <w:rsid w:val="00534AB4"/>
    <w:rsid w:val="005362C3"/>
    <w:rsid w:val="00536BAD"/>
    <w:rsid w:val="00537141"/>
    <w:rsid w:val="005408F8"/>
    <w:rsid w:val="00543A1A"/>
    <w:rsid w:val="00543D1A"/>
    <w:rsid w:val="00545A63"/>
    <w:rsid w:val="00550A8B"/>
    <w:rsid w:val="00551ABE"/>
    <w:rsid w:val="00551F3F"/>
    <w:rsid w:val="00553C28"/>
    <w:rsid w:val="00555711"/>
    <w:rsid w:val="0055655B"/>
    <w:rsid w:val="005575EF"/>
    <w:rsid w:val="00557CAA"/>
    <w:rsid w:val="005610A7"/>
    <w:rsid w:val="00562097"/>
    <w:rsid w:val="00562642"/>
    <w:rsid w:val="00562653"/>
    <w:rsid w:val="00563B31"/>
    <w:rsid w:val="00564616"/>
    <w:rsid w:val="00565E25"/>
    <w:rsid w:val="00566512"/>
    <w:rsid w:val="005677A2"/>
    <w:rsid w:val="00571668"/>
    <w:rsid w:val="00573193"/>
    <w:rsid w:val="005736B2"/>
    <w:rsid w:val="0057643A"/>
    <w:rsid w:val="00580342"/>
    <w:rsid w:val="00582213"/>
    <w:rsid w:val="005901E1"/>
    <w:rsid w:val="005915F5"/>
    <w:rsid w:val="00591F58"/>
    <w:rsid w:val="00592834"/>
    <w:rsid w:val="00594FBF"/>
    <w:rsid w:val="0059693D"/>
    <w:rsid w:val="00597823"/>
    <w:rsid w:val="005A3405"/>
    <w:rsid w:val="005A5E6E"/>
    <w:rsid w:val="005A65D3"/>
    <w:rsid w:val="005A71BD"/>
    <w:rsid w:val="005A7C75"/>
    <w:rsid w:val="005B3CFB"/>
    <w:rsid w:val="005B4AA4"/>
    <w:rsid w:val="005B5C42"/>
    <w:rsid w:val="005B682A"/>
    <w:rsid w:val="005B705D"/>
    <w:rsid w:val="005C0054"/>
    <w:rsid w:val="005D0BCF"/>
    <w:rsid w:val="005D1D33"/>
    <w:rsid w:val="005D1E1A"/>
    <w:rsid w:val="005D2808"/>
    <w:rsid w:val="005D49DC"/>
    <w:rsid w:val="005D6EDB"/>
    <w:rsid w:val="005E4BD5"/>
    <w:rsid w:val="005E6D8D"/>
    <w:rsid w:val="005E7874"/>
    <w:rsid w:val="005F2C58"/>
    <w:rsid w:val="005F3CD8"/>
    <w:rsid w:val="005F6D4E"/>
    <w:rsid w:val="00601231"/>
    <w:rsid w:val="006015AA"/>
    <w:rsid w:val="006053A4"/>
    <w:rsid w:val="00610D91"/>
    <w:rsid w:val="0061143B"/>
    <w:rsid w:val="006173D9"/>
    <w:rsid w:val="006174D0"/>
    <w:rsid w:val="00617B19"/>
    <w:rsid w:val="00620E0C"/>
    <w:rsid w:val="0062507F"/>
    <w:rsid w:val="00626412"/>
    <w:rsid w:val="00627097"/>
    <w:rsid w:val="00627F07"/>
    <w:rsid w:val="00630701"/>
    <w:rsid w:val="00630A52"/>
    <w:rsid w:val="006314EC"/>
    <w:rsid w:val="006317D9"/>
    <w:rsid w:val="006319A4"/>
    <w:rsid w:val="006320EC"/>
    <w:rsid w:val="00632505"/>
    <w:rsid w:val="0063261C"/>
    <w:rsid w:val="00634E49"/>
    <w:rsid w:val="006404B8"/>
    <w:rsid w:val="00640732"/>
    <w:rsid w:val="00640CD1"/>
    <w:rsid w:val="006411FA"/>
    <w:rsid w:val="006468C4"/>
    <w:rsid w:val="00656322"/>
    <w:rsid w:val="0065656C"/>
    <w:rsid w:val="00662C9C"/>
    <w:rsid w:val="00664CCB"/>
    <w:rsid w:val="0066501C"/>
    <w:rsid w:val="00667847"/>
    <w:rsid w:val="00667E21"/>
    <w:rsid w:val="00672253"/>
    <w:rsid w:val="00672477"/>
    <w:rsid w:val="006803F2"/>
    <w:rsid w:val="00680EED"/>
    <w:rsid w:val="00683A32"/>
    <w:rsid w:val="00686C3A"/>
    <w:rsid w:val="0069751D"/>
    <w:rsid w:val="00697E3A"/>
    <w:rsid w:val="006A5A61"/>
    <w:rsid w:val="006A6C9D"/>
    <w:rsid w:val="006B06AF"/>
    <w:rsid w:val="006B3780"/>
    <w:rsid w:val="006B3913"/>
    <w:rsid w:val="006B5F0A"/>
    <w:rsid w:val="006B7B67"/>
    <w:rsid w:val="006C004B"/>
    <w:rsid w:val="006C09E3"/>
    <w:rsid w:val="006C12A2"/>
    <w:rsid w:val="006C1EAD"/>
    <w:rsid w:val="006C3056"/>
    <w:rsid w:val="006C3E9D"/>
    <w:rsid w:val="006C4608"/>
    <w:rsid w:val="006E29E7"/>
    <w:rsid w:val="006E3C5D"/>
    <w:rsid w:val="006E4C81"/>
    <w:rsid w:val="006F3D17"/>
    <w:rsid w:val="007010A6"/>
    <w:rsid w:val="007010E6"/>
    <w:rsid w:val="007013D6"/>
    <w:rsid w:val="00704877"/>
    <w:rsid w:val="007056DC"/>
    <w:rsid w:val="00707B0D"/>
    <w:rsid w:val="00707F33"/>
    <w:rsid w:val="00707FB8"/>
    <w:rsid w:val="00710E91"/>
    <w:rsid w:val="00712094"/>
    <w:rsid w:val="00712899"/>
    <w:rsid w:val="00716F04"/>
    <w:rsid w:val="007220FC"/>
    <w:rsid w:val="007224C8"/>
    <w:rsid w:val="00731F87"/>
    <w:rsid w:val="00734057"/>
    <w:rsid w:val="007347A9"/>
    <w:rsid w:val="00734A59"/>
    <w:rsid w:val="00737389"/>
    <w:rsid w:val="00740EA7"/>
    <w:rsid w:val="00741E7A"/>
    <w:rsid w:val="00743A79"/>
    <w:rsid w:val="00746374"/>
    <w:rsid w:val="0074694C"/>
    <w:rsid w:val="00750DC6"/>
    <w:rsid w:val="00751F36"/>
    <w:rsid w:val="00752ABA"/>
    <w:rsid w:val="007544B3"/>
    <w:rsid w:val="00754953"/>
    <w:rsid w:val="00755F4B"/>
    <w:rsid w:val="007569BF"/>
    <w:rsid w:val="00764F21"/>
    <w:rsid w:val="007650EA"/>
    <w:rsid w:val="00771225"/>
    <w:rsid w:val="007716E8"/>
    <w:rsid w:val="00771EE2"/>
    <w:rsid w:val="00772F61"/>
    <w:rsid w:val="007735D0"/>
    <w:rsid w:val="00776CE6"/>
    <w:rsid w:val="0077709D"/>
    <w:rsid w:val="0077725B"/>
    <w:rsid w:val="0078232E"/>
    <w:rsid w:val="007825BB"/>
    <w:rsid w:val="0078387C"/>
    <w:rsid w:val="007846BD"/>
    <w:rsid w:val="007852C4"/>
    <w:rsid w:val="00785C7C"/>
    <w:rsid w:val="00791072"/>
    <w:rsid w:val="00791620"/>
    <w:rsid w:val="00792C93"/>
    <w:rsid w:val="0079603B"/>
    <w:rsid w:val="00796119"/>
    <w:rsid w:val="00797F29"/>
    <w:rsid w:val="00797F99"/>
    <w:rsid w:val="007A3AD3"/>
    <w:rsid w:val="007A5486"/>
    <w:rsid w:val="007A59DE"/>
    <w:rsid w:val="007B10BC"/>
    <w:rsid w:val="007B2FBF"/>
    <w:rsid w:val="007B6549"/>
    <w:rsid w:val="007B7D18"/>
    <w:rsid w:val="007C065A"/>
    <w:rsid w:val="007C313C"/>
    <w:rsid w:val="007C5C10"/>
    <w:rsid w:val="007C5C4D"/>
    <w:rsid w:val="007D2547"/>
    <w:rsid w:val="007D3552"/>
    <w:rsid w:val="007D5303"/>
    <w:rsid w:val="007D6C61"/>
    <w:rsid w:val="007D7027"/>
    <w:rsid w:val="007E1D6E"/>
    <w:rsid w:val="007E60BB"/>
    <w:rsid w:val="007E66F0"/>
    <w:rsid w:val="007E6E71"/>
    <w:rsid w:val="007F0879"/>
    <w:rsid w:val="007F2072"/>
    <w:rsid w:val="007F7CC1"/>
    <w:rsid w:val="00801530"/>
    <w:rsid w:val="00803277"/>
    <w:rsid w:val="00803BC6"/>
    <w:rsid w:val="008044D7"/>
    <w:rsid w:val="00811BC8"/>
    <w:rsid w:val="00812181"/>
    <w:rsid w:val="0081385B"/>
    <w:rsid w:val="00816600"/>
    <w:rsid w:val="00821645"/>
    <w:rsid w:val="00822D2E"/>
    <w:rsid w:val="00827EA0"/>
    <w:rsid w:val="0083345E"/>
    <w:rsid w:val="00834EAE"/>
    <w:rsid w:val="00841403"/>
    <w:rsid w:val="0084190B"/>
    <w:rsid w:val="0084411B"/>
    <w:rsid w:val="00844951"/>
    <w:rsid w:val="00844D6E"/>
    <w:rsid w:val="00845A5D"/>
    <w:rsid w:val="008462FB"/>
    <w:rsid w:val="008465CD"/>
    <w:rsid w:val="0084663D"/>
    <w:rsid w:val="008515C0"/>
    <w:rsid w:val="00854873"/>
    <w:rsid w:val="00855E83"/>
    <w:rsid w:val="00856515"/>
    <w:rsid w:val="0086292A"/>
    <w:rsid w:val="00864FC6"/>
    <w:rsid w:val="00865B48"/>
    <w:rsid w:val="00872E7D"/>
    <w:rsid w:val="00874549"/>
    <w:rsid w:val="008756B7"/>
    <w:rsid w:val="008757B7"/>
    <w:rsid w:val="00880472"/>
    <w:rsid w:val="008813F9"/>
    <w:rsid w:val="0088144C"/>
    <w:rsid w:val="00881587"/>
    <w:rsid w:val="0088218C"/>
    <w:rsid w:val="00884060"/>
    <w:rsid w:val="00890796"/>
    <w:rsid w:val="0089321E"/>
    <w:rsid w:val="008933DF"/>
    <w:rsid w:val="00894C08"/>
    <w:rsid w:val="00895001"/>
    <w:rsid w:val="0089560E"/>
    <w:rsid w:val="008A0CBD"/>
    <w:rsid w:val="008A0D2A"/>
    <w:rsid w:val="008A1DEE"/>
    <w:rsid w:val="008A3970"/>
    <w:rsid w:val="008A5701"/>
    <w:rsid w:val="008B3DFF"/>
    <w:rsid w:val="008B3F28"/>
    <w:rsid w:val="008C49D3"/>
    <w:rsid w:val="008C5947"/>
    <w:rsid w:val="008C6DA1"/>
    <w:rsid w:val="008C72A6"/>
    <w:rsid w:val="008D3D94"/>
    <w:rsid w:val="008D618A"/>
    <w:rsid w:val="008E1DC0"/>
    <w:rsid w:val="008E30BF"/>
    <w:rsid w:val="008E35A0"/>
    <w:rsid w:val="008E3A25"/>
    <w:rsid w:val="008E5038"/>
    <w:rsid w:val="008F031C"/>
    <w:rsid w:val="008F1463"/>
    <w:rsid w:val="008F1F11"/>
    <w:rsid w:val="008F31C7"/>
    <w:rsid w:val="008F7358"/>
    <w:rsid w:val="008F7394"/>
    <w:rsid w:val="008F79D7"/>
    <w:rsid w:val="009006DF"/>
    <w:rsid w:val="00910153"/>
    <w:rsid w:val="00910A19"/>
    <w:rsid w:val="00910BDC"/>
    <w:rsid w:val="00910F4E"/>
    <w:rsid w:val="00911695"/>
    <w:rsid w:val="00911E55"/>
    <w:rsid w:val="00913F05"/>
    <w:rsid w:val="0091562C"/>
    <w:rsid w:val="009177B6"/>
    <w:rsid w:val="00917A27"/>
    <w:rsid w:val="00923CD3"/>
    <w:rsid w:val="00924202"/>
    <w:rsid w:val="00924E50"/>
    <w:rsid w:val="00925CC6"/>
    <w:rsid w:val="00926ABF"/>
    <w:rsid w:val="00927A26"/>
    <w:rsid w:val="00927D00"/>
    <w:rsid w:val="00930969"/>
    <w:rsid w:val="0093269F"/>
    <w:rsid w:val="00936433"/>
    <w:rsid w:val="009412CD"/>
    <w:rsid w:val="0095349A"/>
    <w:rsid w:val="00955204"/>
    <w:rsid w:val="00960CAB"/>
    <w:rsid w:val="00960CCB"/>
    <w:rsid w:val="00961359"/>
    <w:rsid w:val="00962A0B"/>
    <w:rsid w:val="00962C4D"/>
    <w:rsid w:val="00964D34"/>
    <w:rsid w:val="00966F72"/>
    <w:rsid w:val="0096757C"/>
    <w:rsid w:val="00967A23"/>
    <w:rsid w:val="00972946"/>
    <w:rsid w:val="00972E84"/>
    <w:rsid w:val="00974691"/>
    <w:rsid w:val="00976022"/>
    <w:rsid w:val="00976169"/>
    <w:rsid w:val="00976580"/>
    <w:rsid w:val="00977C3F"/>
    <w:rsid w:val="00977CC3"/>
    <w:rsid w:val="00980102"/>
    <w:rsid w:val="0098316D"/>
    <w:rsid w:val="00984D59"/>
    <w:rsid w:val="0098502F"/>
    <w:rsid w:val="00986D16"/>
    <w:rsid w:val="009910B5"/>
    <w:rsid w:val="009920AD"/>
    <w:rsid w:val="0099244A"/>
    <w:rsid w:val="009938B8"/>
    <w:rsid w:val="00994EB2"/>
    <w:rsid w:val="00995053"/>
    <w:rsid w:val="009A0735"/>
    <w:rsid w:val="009A25E2"/>
    <w:rsid w:val="009A37CD"/>
    <w:rsid w:val="009A4C36"/>
    <w:rsid w:val="009B1FF8"/>
    <w:rsid w:val="009B42EF"/>
    <w:rsid w:val="009B4E7E"/>
    <w:rsid w:val="009B5EED"/>
    <w:rsid w:val="009C20D3"/>
    <w:rsid w:val="009C37BF"/>
    <w:rsid w:val="009C6EE6"/>
    <w:rsid w:val="009C7333"/>
    <w:rsid w:val="009C7979"/>
    <w:rsid w:val="009D0966"/>
    <w:rsid w:val="009D0B0C"/>
    <w:rsid w:val="009D22E5"/>
    <w:rsid w:val="009D4B7E"/>
    <w:rsid w:val="009D5E13"/>
    <w:rsid w:val="009D71F1"/>
    <w:rsid w:val="009E015C"/>
    <w:rsid w:val="009E0909"/>
    <w:rsid w:val="009E37B1"/>
    <w:rsid w:val="009E3E05"/>
    <w:rsid w:val="009E5780"/>
    <w:rsid w:val="009E5D72"/>
    <w:rsid w:val="009E6EC4"/>
    <w:rsid w:val="009F01E1"/>
    <w:rsid w:val="009F2F5E"/>
    <w:rsid w:val="009F3B2F"/>
    <w:rsid w:val="009F42ED"/>
    <w:rsid w:val="009F60D9"/>
    <w:rsid w:val="00A01456"/>
    <w:rsid w:val="00A01B5E"/>
    <w:rsid w:val="00A02A20"/>
    <w:rsid w:val="00A03301"/>
    <w:rsid w:val="00A05E3C"/>
    <w:rsid w:val="00A0769D"/>
    <w:rsid w:val="00A07925"/>
    <w:rsid w:val="00A101E8"/>
    <w:rsid w:val="00A10455"/>
    <w:rsid w:val="00A1132C"/>
    <w:rsid w:val="00A1168E"/>
    <w:rsid w:val="00A11DCF"/>
    <w:rsid w:val="00A11EE6"/>
    <w:rsid w:val="00A1213C"/>
    <w:rsid w:val="00A14C01"/>
    <w:rsid w:val="00A1556E"/>
    <w:rsid w:val="00A169DC"/>
    <w:rsid w:val="00A20C10"/>
    <w:rsid w:val="00A22308"/>
    <w:rsid w:val="00A22EC9"/>
    <w:rsid w:val="00A25ED3"/>
    <w:rsid w:val="00A264B5"/>
    <w:rsid w:val="00A26E1A"/>
    <w:rsid w:val="00A27D67"/>
    <w:rsid w:val="00A317E0"/>
    <w:rsid w:val="00A37208"/>
    <w:rsid w:val="00A373FE"/>
    <w:rsid w:val="00A37744"/>
    <w:rsid w:val="00A4126B"/>
    <w:rsid w:val="00A431C8"/>
    <w:rsid w:val="00A47E8E"/>
    <w:rsid w:val="00A50183"/>
    <w:rsid w:val="00A50E52"/>
    <w:rsid w:val="00A512D9"/>
    <w:rsid w:val="00A52488"/>
    <w:rsid w:val="00A52EF8"/>
    <w:rsid w:val="00A52F87"/>
    <w:rsid w:val="00A550F0"/>
    <w:rsid w:val="00A55F4D"/>
    <w:rsid w:val="00A56DFC"/>
    <w:rsid w:val="00A607D6"/>
    <w:rsid w:val="00A65ACF"/>
    <w:rsid w:val="00A71725"/>
    <w:rsid w:val="00A730D4"/>
    <w:rsid w:val="00A75160"/>
    <w:rsid w:val="00A80107"/>
    <w:rsid w:val="00A80270"/>
    <w:rsid w:val="00A81E1C"/>
    <w:rsid w:val="00A82C07"/>
    <w:rsid w:val="00A8654F"/>
    <w:rsid w:val="00A921C2"/>
    <w:rsid w:val="00A93040"/>
    <w:rsid w:val="00A9331E"/>
    <w:rsid w:val="00A96C90"/>
    <w:rsid w:val="00AA1C5D"/>
    <w:rsid w:val="00AA207A"/>
    <w:rsid w:val="00AA672A"/>
    <w:rsid w:val="00AA7717"/>
    <w:rsid w:val="00AA7A7D"/>
    <w:rsid w:val="00AA7BA4"/>
    <w:rsid w:val="00AB24DF"/>
    <w:rsid w:val="00AB2639"/>
    <w:rsid w:val="00AB41F5"/>
    <w:rsid w:val="00AB534D"/>
    <w:rsid w:val="00AB6C48"/>
    <w:rsid w:val="00AB7F2E"/>
    <w:rsid w:val="00AC00B4"/>
    <w:rsid w:val="00AC26EA"/>
    <w:rsid w:val="00AC2702"/>
    <w:rsid w:val="00AC5E52"/>
    <w:rsid w:val="00AC75F2"/>
    <w:rsid w:val="00AD0D0C"/>
    <w:rsid w:val="00AD28A1"/>
    <w:rsid w:val="00AD39D3"/>
    <w:rsid w:val="00AD6CA7"/>
    <w:rsid w:val="00AF04EA"/>
    <w:rsid w:val="00AF1B9D"/>
    <w:rsid w:val="00AF2D9F"/>
    <w:rsid w:val="00AF4146"/>
    <w:rsid w:val="00B01E1E"/>
    <w:rsid w:val="00B04E52"/>
    <w:rsid w:val="00B064E0"/>
    <w:rsid w:val="00B0681C"/>
    <w:rsid w:val="00B06DF0"/>
    <w:rsid w:val="00B125E7"/>
    <w:rsid w:val="00B17733"/>
    <w:rsid w:val="00B17A2D"/>
    <w:rsid w:val="00B238A2"/>
    <w:rsid w:val="00B24199"/>
    <w:rsid w:val="00B2684F"/>
    <w:rsid w:val="00B30708"/>
    <w:rsid w:val="00B30B1C"/>
    <w:rsid w:val="00B32557"/>
    <w:rsid w:val="00B40A36"/>
    <w:rsid w:val="00B421B9"/>
    <w:rsid w:val="00B43070"/>
    <w:rsid w:val="00B43FAA"/>
    <w:rsid w:val="00B46946"/>
    <w:rsid w:val="00B52319"/>
    <w:rsid w:val="00B5524B"/>
    <w:rsid w:val="00B60374"/>
    <w:rsid w:val="00B624DE"/>
    <w:rsid w:val="00B631C4"/>
    <w:rsid w:val="00B648B6"/>
    <w:rsid w:val="00B65453"/>
    <w:rsid w:val="00B669BA"/>
    <w:rsid w:val="00B67E11"/>
    <w:rsid w:val="00B75280"/>
    <w:rsid w:val="00B81D39"/>
    <w:rsid w:val="00B82D37"/>
    <w:rsid w:val="00B879EB"/>
    <w:rsid w:val="00B87A14"/>
    <w:rsid w:val="00B87A48"/>
    <w:rsid w:val="00B91A45"/>
    <w:rsid w:val="00BA398E"/>
    <w:rsid w:val="00BA58F0"/>
    <w:rsid w:val="00BA6D3B"/>
    <w:rsid w:val="00BA7453"/>
    <w:rsid w:val="00BB0336"/>
    <w:rsid w:val="00BB0FA2"/>
    <w:rsid w:val="00BB2223"/>
    <w:rsid w:val="00BB2B7B"/>
    <w:rsid w:val="00BB2E6B"/>
    <w:rsid w:val="00BC0C20"/>
    <w:rsid w:val="00BC508C"/>
    <w:rsid w:val="00BC79D7"/>
    <w:rsid w:val="00BD1389"/>
    <w:rsid w:val="00BD41E9"/>
    <w:rsid w:val="00BD51C6"/>
    <w:rsid w:val="00BD7908"/>
    <w:rsid w:val="00BE057A"/>
    <w:rsid w:val="00BE2D96"/>
    <w:rsid w:val="00BE520A"/>
    <w:rsid w:val="00BE5A23"/>
    <w:rsid w:val="00BE6705"/>
    <w:rsid w:val="00BE7FAD"/>
    <w:rsid w:val="00BF03C1"/>
    <w:rsid w:val="00BF0DAF"/>
    <w:rsid w:val="00BF0E76"/>
    <w:rsid w:val="00BF1E08"/>
    <w:rsid w:val="00BF2EB6"/>
    <w:rsid w:val="00BF7A0C"/>
    <w:rsid w:val="00C063C0"/>
    <w:rsid w:val="00C06DB4"/>
    <w:rsid w:val="00C0756A"/>
    <w:rsid w:val="00C12BE9"/>
    <w:rsid w:val="00C13786"/>
    <w:rsid w:val="00C14FCB"/>
    <w:rsid w:val="00C15A0C"/>
    <w:rsid w:val="00C15FE3"/>
    <w:rsid w:val="00C2443D"/>
    <w:rsid w:val="00C24999"/>
    <w:rsid w:val="00C25A3F"/>
    <w:rsid w:val="00C2616B"/>
    <w:rsid w:val="00C26E45"/>
    <w:rsid w:val="00C318C2"/>
    <w:rsid w:val="00C35769"/>
    <w:rsid w:val="00C405C9"/>
    <w:rsid w:val="00C40FE1"/>
    <w:rsid w:val="00C434BA"/>
    <w:rsid w:val="00C44BCE"/>
    <w:rsid w:val="00C46EAD"/>
    <w:rsid w:val="00C51140"/>
    <w:rsid w:val="00C536A9"/>
    <w:rsid w:val="00C56A2B"/>
    <w:rsid w:val="00C57A7D"/>
    <w:rsid w:val="00C57DD2"/>
    <w:rsid w:val="00C6039F"/>
    <w:rsid w:val="00C61FE7"/>
    <w:rsid w:val="00C64B7C"/>
    <w:rsid w:val="00C673DF"/>
    <w:rsid w:val="00C75A94"/>
    <w:rsid w:val="00C77A24"/>
    <w:rsid w:val="00C77AA8"/>
    <w:rsid w:val="00C804FA"/>
    <w:rsid w:val="00C82D91"/>
    <w:rsid w:val="00C82E68"/>
    <w:rsid w:val="00C862B3"/>
    <w:rsid w:val="00C87690"/>
    <w:rsid w:val="00C87B3D"/>
    <w:rsid w:val="00C92F00"/>
    <w:rsid w:val="00C936E3"/>
    <w:rsid w:val="00C93DA5"/>
    <w:rsid w:val="00C9452A"/>
    <w:rsid w:val="00C94FA3"/>
    <w:rsid w:val="00C9774D"/>
    <w:rsid w:val="00CA00CA"/>
    <w:rsid w:val="00CA0334"/>
    <w:rsid w:val="00CA2884"/>
    <w:rsid w:val="00CA2953"/>
    <w:rsid w:val="00CA3206"/>
    <w:rsid w:val="00CA348C"/>
    <w:rsid w:val="00CA4CD5"/>
    <w:rsid w:val="00CA68AA"/>
    <w:rsid w:val="00CB12D2"/>
    <w:rsid w:val="00CB3280"/>
    <w:rsid w:val="00CB3F09"/>
    <w:rsid w:val="00CB4283"/>
    <w:rsid w:val="00CB4873"/>
    <w:rsid w:val="00CB57BD"/>
    <w:rsid w:val="00CB618B"/>
    <w:rsid w:val="00CC1A9F"/>
    <w:rsid w:val="00CC1C9A"/>
    <w:rsid w:val="00CC252A"/>
    <w:rsid w:val="00CC4493"/>
    <w:rsid w:val="00CC44BA"/>
    <w:rsid w:val="00CC47DB"/>
    <w:rsid w:val="00CC5D81"/>
    <w:rsid w:val="00CC7B84"/>
    <w:rsid w:val="00CD275C"/>
    <w:rsid w:val="00CD4231"/>
    <w:rsid w:val="00CD4AF0"/>
    <w:rsid w:val="00CD7B4A"/>
    <w:rsid w:val="00CE3A30"/>
    <w:rsid w:val="00CE4050"/>
    <w:rsid w:val="00CE4F1D"/>
    <w:rsid w:val="00CE602D"/>
    <w:rsid w:val="00CE65F8"/>
    <w:rsid w:val="00CE792C"/>
    <w:rsid w:val="00CE7DD4"/>
    <w:rsid w:val="00CF59F8"/>
    <w:rsid w:val="00CF615A"/>
    <w:rsid w:val="00CF745F"/>
    <w:rsid w:val="00D0047C"/>
    <w:rsid w:val="00D01366"/>
    <w:rsid w:val="00D0265F"/>
    <w:rsid w:val="00D03403"/>
    <w:rsid w:val="00D046B8"/>
    <w:rsid w:val="00D12693"/>
    <w:rsid w:val="00D1359A"/>
    <w:rsid w:val="00D22FAB"/>
    <w:rsid w:val="00D258FD"/>
    <w:rsid w:val="00D26687"/>
    <w:rsid w:val="00D2689C"/>
    <w:rsid w:val="00D26B80"/>
    <w:rsid w:val="00D30EE3"/>
    <w:rsid w:val="00D329C5"/>
    <w:rsid w:val="00D3321C"/>
    <w:rsid w:val="00D337F6"/>
    <w:rsid w:val="00D35580"/>
    <w:rsid w:val="00D356EA"/>
    <w:rsid w:val="00D401A6"/>
    <w:rsid w:val="00D409EF"/>
    <w:rsid w:val="00D40B26"/>
    <w:rsid w:val="00D453E0"/>
    <w:rsid w:val="00D5328E"/>
    <w:rsid w:val="00D54F1A"/>
    <w:rsid w:val="00D565F5"/>
    <w:rsid w:val="00D567DA"/>
    <w:rsid w:val="00D577DB"/>
    <w:rsid w:val="00D57E1A"/>
    <w:rsid w:val="00D608B9"/>
    <w:rsid w:val="00D61861"/>
    <w:rsid w:val="00D622CD"/>
    <w:rsid w:val="00D62567"/>
    <w:rsid w:val="00D66575"/>
    <w:rsid w:val="00D70550"/>
    <w:rsid w:val="00D80FD3"/>
    <w:rsid w:val="00D82784"/>
    <w:rsid w:val="00D8528C"/>
    <w:rsid w:val="00D87357"/>
    <w:rsid w:val="00D93C90"/>
    <w:rsid w:val="00D97E72"/>
    <w:rsid w:val="00DA0B4C"/>
    <w:rsid w:val="00DA116F"/>
    <w:rsid w:val="00DA25E7"/>
    <w:rsid w:val="00DA56E9"/>
    <w:rsid w:val="00DA71CC"/>
    <w:rsid w:val="00DB0579"/>
    <w:rsid w:val="00DB697C"/>
    <w:rsid w:val="00DB727B"/>
    <w:rsid w:val="00DB7622"/>
    <w:rsid w:val="00DB7E9D"/>
    <w:rsid w:val="00DC26C6"/>
    <w:rsid w:val="00DC277E"/>
    <w:rsid w:val="00DC3027"/>
    <w:rsid w:val="00DC383B"/>
    <w:rsid w:val="00DC3D1F"/>
    <w:rsid w:val="00DD13E3"/>
    <w:rsid w:val="00DD2ED9"/>
    <w:rsid w:val="00DD33A6"/>
    <w:rsid w:val="00DD4A45"/>
    <w:rsid w:val="00DD63D1"/>
    <w:rsid w:val="00DE0362"/>
    <w:rsid w:val="00DE222A"/>
    <w:rsid w:val="00DE34C7"/>
    <w:rsid w:val="00DE3DF8"/>
    <w:rsid w:val="00DE5E9E"/>
    <w:rsid w:val="00DE7D44"/>
    <w:rsid w:val="00DF0E81"/>
    <w:rsid w:val="00DF1196"/>
    <w:rsid w:val="00DF73D5"/>
    <w:rsid w:val="00E006A4"/>
    <w:rsid w:val="00E01733"/>
    <w:rsid w:val="00E041AA"/>
    <w:rsid w:val="00E0726C"/>
    <w:rsid w:val="00E12C8B"/>
    <w:rsid w:val="00E13696"/>
    <w:rsid w:val="00E15607"/>
    <w:rsid w:val="00E15BD9"/>
    <w:rsid w:val="00E20153"/>
    <w:rsid w:val="00E213C3"/>
    <w:rsid w:val="00E24AF7"/>
    <w:rsid w:val="00E2637A"/>
    <w:rsid w:val="00E31555"/>
    <w:rsid w:val="00E31DCB"/>
    <w:rsid w:val="00E3267B"/>
    <w:rsid w:val="00E350B1"/>
    <w:rsid w:val="00E355CF"/>
    <w:rsid w:val="00E355D3"/>
    <w:rsid w:val="00E37A69"/>
    <w:rsid w:val="00E40E68"/>
    <w:rsid w:val="00E420DA"/>
    <w:rsid w:val="00E432BC"/>
    <w:rsid w:val="00E452FF"/>
    <w:rsid w:val="00E46A23"/>
    <w:rsid w:val="00E471B1"/>
    <w:rsid w:val="00E47253"/>
    <w:rsid w:val="00E52FB0"/>
    <w:rsid w:val="00E5543F"/>
    <w:rsid w:val="00E61183"/>
    <w:rsid w:val="00E61800"/>
    <w:rsid w:val="00E62303"/>
    <w:rsid w:val="00E658A8"/>
    <w:rsid w:val="00E668DA"/>
    <w:rsid w:val="00E676D9"/>
    <w:rsid w:val="00E71800"/>
    <w:rsid w:val="00E73BE6"/>
    <w:rsid w:val="00E73BEC"/>
    <w:rsid w:val="00E73D9E"/>
    <w:rsid w:val="00E73E25"/>
    <w:rsid w:val="00E74949"/>
    <w:rsid w:val="00E74A8E"/>
    <w:rsid w:val="00E76AD5"/>
    <w:rsid w:val="00E82224"/>
    <w:rsid w:val="00E87A83"/>
    <w:rsid w:val="00E96C97"/>
    <w:rsid w:val="00EA09A8"/>
    <w:rsid w:val="00EA3E32"/>
    <w:rsid w:val="00EA6D61"/>
    <w:rsid w:val="00EA704E"/>
    <w:rsid w:val="00EA7F7C"/>
    <w:rsid w:val="00EB2913"/>
    <w:rsid w:val="00EB42BD"/>
    <w:rsid w:val="00EB642C"/>
    <w:rsid w:val="00EC2475"/>
    <w:rsid w:val="00EC4E86"/>
    <w:rsid w:val="00EC5566"/>
    <w:rsid w:val="00EC69E9"/>
    <w:rsid w:val="00ED12A0"/>
    <w:rsid w:val="00ED2D4B"/>
    <w:rsid w:val="00ED4F9C"/>
    <w:rsid w:val="00ED55F8"/>
    <w:rsid w:val="00ED5689"/>
    <w:rsid w:val="00ED697B"/>
    <w:rsid w:val="00ED70F4"/>
    <w:rsid w:val="00EE0B69"/>
    <w:rsid w:val="00EE0F9A"/>
    <w:rsid w:val="00EE1A69"/>
    <w:rsid w:val="00EE5547"/>
    <w:rsid w:val="00EE7CE2"/>
    <w:rsid w:val="00EF6DB6"/>
    <w:rsid w:val="00EF6EF4"/>
    <w:rsid w:val="00F00091"/>
    <w:rsid w:val="00F005E7"/>
    <w:rsid w:val="00F01476"/>
    <w:rsid w:val="00F0190B"/>
    <w:rsid w:val="00F0202B"/>
    <w:rsid w:val="00F02302"/>
    <w:rsid w:val="00F03454"/>
    <w:rsid w:val="00F0494D"/>
    <w:rsid w:val="00F04A09"/>
    <w:rsid w:val="00F05D9E"/>
    <w:rsid w:val="00F06492"/>
    <w:rsid w:val="00F07ED0"/>
    <w:rsid w:val="00F10121"/>
    <w:rsid w:val="00F1264F"/>
    <w:rsid w:val="00F12882"/>
    <w:rsid w:val="00F1424F"/>
    <w:rsid w:val="00F1577A"/>
    <w:rsid w:val="00F21581"/>
    <w:rsid w:val="00F22362"/>
    <w:rsid w:val="00F24C6B"/>
    <w:rsid w:val="00F26850"/>
    <w:rsid w:val="00F274AF"/>
    <w:rsid w:val="00F308B0"/>
    <w:rsid w:val="00F3163A"/>
    <w:rsid w:val="00F3402B"/>
    <w:rsid w:val="00F365E1"/>
    <w:rsid w:val="00F3673E"/>
    <w:rsid w:val="00F400D9"/>
    <w:rsid w:val="00F40471"/>
    <w:rsid w:val="00F43778"/>
    <w:rsid w:val="00F43A25"/>
    <w:rsid w:val="00F44207"/>
    <w:rsid w:val="00F442EF"/>
    <w:rsid w:val="00F44932"/>
    <w:rsid w:val="00F471C7"/>
    <w:rsid w:val="00F509D2"/>
    <w:rsid w:val="00F53E92"/>
    <w:rsid w:val="00F554B2"/>
    <w:rsid w:val="00F579EE"/>
    <w:rsid w:val="00F57BC9"/>
    <w:rsid w:val="00F60225"/>
    <w:rsid w:val="00F61A0A"/>
    <w:rsid w:val="00F61AD6"/>
    <w:rsid w:val="00F641D8"/>
    <w:rsid w:val="00F64532"/>
    <w:rsid w:val="00F66627"/>
    <w:rsid w:val="00F711EC"/>
    <w:rsid w:val="00F71E61"/>
    <w:rsid w:val="00F75713"/>
    <w:rsid w:val="00F75AB0"/>
    <w:rsid w:val="00F75C73"/>
    <w:rsid w:val="00F81536"/>
    <w:rsid w:val="00F85169"/>
    <w:rsid w:val="00F85239"/>
    <w:rsid w:val="00F8527D"/>
    <w:rsid w:val="00F8540D"/>
    <w:rsid w:val="00F90548"/>
    <w:rsid w:val="00F922EF"/>
    <w:rsid w:val="00F937BD"/>
    <w:rsid w:val="00F962DC"/>
    <w:rsid w:val="00FA07CF"/>
    <w:rsid w:val="00FA2F0E"/>
    <w:rsid w:val="00FA4ABC"/>
    <w:rsid w:val="00FA51C6"/>
    <w:rsid w:val="00FA5D2F"/>
    <w:rsid w:val="00FB11E7"/>
    <w:rsid w:val="00FB7C96"/>
    <w:rsid w:val="00FC1F97"/>
    <w:rsid w:val="00FC460B"/>
    <w:rsid w:val="00FC56B8"/>
    <w:rsid w:val="00FC5F20"/>
    <w:rsid w:val="00FC69AF"/>
    <w:rsid w:val="00FC7B5E"/>
    <w:rsid w:val="00FD079E"/>
    <w:rsid w:val="00FD0B41"/>
    <w:rsid w:val="00FD20A0"/>
    <w:rsid w:val="00FD4991"/>
    <w:rsid w:val="00FE0113"/>
    <w:rsid w:val="00FE0A00"/>
    <w:rsid w:val="00FE0D2A"/>
    <w:rsid w:val="00FE417B"/>
    <w:rsid w:val="00FE6AF1"/>
    <w:rsid w:val="00FE7A2E"/>
    <w:rsid w:val="00FF1392"/>
    <w:rsid w:val="00FF2D63"/>
    <w:rsid w:val="00FF403E"/>
    <w:rsid w:val="00FF6ACF"/>
    <w:rsid w:val="00FF7157"/>
    <w:rsid w:val="01086012"/>
    <w:rsid w:val="012F23D2"/>
    <w:rsid w:val="01353E46"/>
    <w:rsid w:val="013D20EF"/>
    <w:rsid w:val="013D4C8F"/>
    <w:rsid w:val="0141555F"/>
    <w:rsid w:val="01425A17"/>
    <w:rsid w:val="01542AFA"/>
    <w:rsid w:val="015E6630"/>
    <w:rsid w:val="016C75C7"/>
    <w:rsid w:val="018D524F"/>
    <w:rsid w:val="019036D8"/>
    <w:rsid w:val="01A01767"/>
    <w:rsid w:val="01A66FAC"/>
    <w:rsid w:val="01BD4FDC"/>
    <w:rsid w:val="01C42B8B"/>
    <w:rsid w:val="01CE3A0A"/>
    <w:rsid w:val="01E941AE"/>
    <w:rsid w:val="01ED256A"/>
    <w:rsid w:val="01FE504C"/>
    <w:rsid w:val="02201D8C"/>
    <w:rsid w:val="0221105C"/>
    <w:rsid w:val="02240E71"/>
    <w:rsid w:val="022F6268"/>
    <w:rsid w:val="0230144B"/>
    <w:rsid w:val="023E2A8F"/>
    <w:rsid w:val="023F01AC"/>
    <w:rsid w:val="02497F02"/>
    <w:rsid w:val="025C7268"/>
    <w:rsid w:val="025D37A6"/>
    <w:rsid w:val="02630A21"/>
    <w:rsid w:val="026E6F9B"/>
    <w:rsid w:val="027520D7"/>
    <w:rsid w:val="02910656"/>
    <w:rsid w:val="029452C8"/>
    <w:rsid w:val="0299330C"/>
    <w:rsid w:val="029E3E12"/>
    <w:rsid w:val="02AE2F1E"/>
    <w:rsid w:val="02B07476"/>
    <w:rsid w:val="02B12263"/>
    <w:rsid w:val="02B34262"/>
    <w:rsid w:val="02BA6D6B"/>
    <w:rsid w:val="02BC6761"/>
    <w:rsid w:val="02C30781"/>
    <w:rsid w:val="02C32A89"/>
    <w:rsid w:val="02EB23C8"/>
    <w:rsid w:val="02ED4254"/>
    <w:rsid w:val="02F54A67"/>
    <w:rsid w:val="02FB586B"/>
    <w:rsid w:val="032764F6"/>
    <w:rsid w:val="03355FAD"/>
    <w:rsid w:val="03357A15"/>
    <w:rsid w:val="033F6615"/>
    <w:rsid w:val="034A4B76"/>
    <w:rsid w:val="03604B36"/>
    <w:rsid w:val="03646BB0"/>
    <w:rsid w:val="036A455B"/>
    <w:rsid w:val="03700AD7"/>
    <w:rsid w:val="03881BEB"/>
    <w:rsid w:val="03B07722"/>
    <w:rsid w:val="03B94246"/>
    <w:rsid w:val="03C9092D"/>
    <w:rsid w:val="03C947DD"/>
    <w:rsid w:val="03CD0376"/>
    <w:rsid w:val="03E73921"/>
    <w:rsid w:val="03E868D9"/>
    <w:rsid w:val="03EB0F95"/>
    <w:rsid w:val="03F1290E"/>
    <w:rsid w:val="04002E0B"/>
    <w:rsid w:val="040F03FA"/>
    <w:rsid w:val="0412438A"/>
    <w:rsid w:val="04136717"/>
    <w:rsid w:val="041D2A27"/>
    <w:rsid w:val="04332546"/>
    <w:rsid w:val="04533461"/>
    <w:rsid w:val="048D54DF"/>
    <w:rsid w:val="04B51F1A"/>
    <w:rsid w:val="04BD0338"/>
    <w:rsid w:val="04C56D31"/>
    <w:rsid w:val="04CF0F22"/>
    <w:rsid w:val="04D7542D"/>
    <w:rsid w:val="04DD163F"/>
    <w:rsid w:val="04E452F2"/>
    <w:rsid w:val="04E82F5F"/>
    <w:rsid w:val="05084E1A"/>
    <w:rsid w:val="052E656D"/>
    <w:rsid w:val="0536624A"/>
    <w:rsid w:val="05476ED2"/>
    <w:rsid w:val="05507187"/>
    <w:rsid w:val="05547F50"/>
    <w:rsid w:val="05586D81"/>
    <w:rsid w:val="056775E0"/>
    <w:rsid w:val="05812096"/>
    <w:rsid w:val="05A174D0"/>
    <w:rsid w:val="05A31C11"/>
    <w:rsid w:val="05A54A82"/>
    <w:rsid w:val="05B6570E"/>
    <w:rsid w:val="05B719DB"/>
    <w:rsid w:val="05D411B5"/>
    <w:rsid w:val="05DC03BC"/>
    <w:rsid w:val="05E03755"/>
    <w:rsid w:val="05E05D39"/>
    <w:rsid w:val="05EE025B"/>
    <w:rsid w:val="05FB2E46"/>
    <w:rsid w:val="06274DE9"/>
    <w:rsid w:val="0643158D"/>
    <w:rsid w:val="06606ACF"/>
    <w:rsid w:val="06632C8A"/>
    <w:rsid w:val="066C44D0"/>
    <w:rsid w:val="06780BE4"/>
    <w:rsid w:val="067D77AC"/>
    <w:rsid w:val="0688298E"/>
    <w:rsid w:val="06A978A6"/>
    <w:rsid w:val="06BA577F"/>
    <w:rsid w:val="06C373A0"/>
    <w:rsid w:val="06CA61EA"/>
    <w:rsid w:val="06CE3AAD"/>
    <w:rsid w:val="06D3256B"/>
    <w:rsid w:val="06E93094"/>
    <w:rsid w:val="07142FC9"/>
    <w:rsid w:val="0716354A"/>
    <w:rsid w:val="071A113A"/>
    <w:rsid w:val="071A5532"/>
    <w:rsid w:val="072F1A7A"/>
    <w:rsid w:val="073F7F68"/>
    <w:rsid w:val="07433326"/>
    <w:rsid w:val="074D1200"/>
    <w:rsid w:val="07591FC8"/>
    <w:rsid w:val="07654138"/>
    <w:rsid w:val="07701435"/>
    <w:rsid w:val="078057A6"/>
    <w:rsid w:val="0791006E"/>
    <w:rsid w:val="07A93817"/>
    <w:rsid w:val="07AA51F7"/>
    <w:rsid w:val="07C16E32"/>
    <w:rsid w:val="07C956F1"/>
    <w:rsid w:val="07DE071F"/>
    <w:rsid w:val="07E724F1"/>
    <w:rsid w:val="07F54B10"/>
    <w:rsid w:val="080D2DB2"/>
    <w:rsid w:val="08236132"/>
    <w:rsid w:val="0824157E"/>
    <w:rsid w:val="082A5712"/>
    <w:rsid w:val="08365D8B"/>
    <w:rsid w:val="083932FD"/>
    <w:rsid w:val="083C1D74"/>
    <w:rsid w:val="08664D5B"/>
    <w:rsid w:val="087338E5"/>
    <w:rsid w:val="087E552F"/>
    <w:rsid w:val="08935065"/>
    <w:rsid w:val="08994E2C"/>
    <w:rsid w:val="089E0248"/>
    <w:rsid w:val="08AA7F40"/>
    <w:rsid w:val="08AC09F8"/>
    <w:rsid w:val="08AF1C74"/>
    <w:rsid w:val="08B76FB8"/>
    <w:rsid w:val="08EC3C9C"/>
    <w:rsid w:val="08EF4818"/>
    <w:rsid w:val="08F26284"/>
    <w:rsid w:val="08F57B11"/>
    <w:rsid w:val="08F617F2"/>
    <w:rsid w:val="08F64252"/>
    <w:rsid w:val="08F94C8C"/>
    <w:rsid w:val="08FD0C7A"/>
    <w:rsid w:val="09027DBF"/>
    <w:rsid w:val="090F109A"/>
    <w:rsid w:val="09151314"/>
    <w:rsid w:val="09263609"/>
    <w:rsid w:val="092E2FE0"/>
    <w:rsid w:val="093E5BC8"/>
    <w:rsid w:val="0953633D"/>
    <w:rsid w:val="095867F9"/>
    <w:rsid w:val="09697733"/>
    <w:rsid w:val="09953804"/>
    <w:rsid w:val="099A0675"/>
    <w:rsid w:val="099C034D"/>
    <w:rsid w:val="09A71810"/>
    <w:rsid w:val="09AF52BC"/>
    <w:rsid w:val="09C556F2"/>
    <w:rsid w:val="09C9680A"/>
    <w:rsid w:val="09E33DCA"/>
    <w:rsid w:val="09EA33AB"/>
    <w:rsid w:val="09EA6668"/>
    <w:rsid w:val="0A0501E5"/>
    <w:rsid w:val="0A075D0B"/>
    <w:rsid w:val="0A0A57FB"/>
    <w:rsid w:val="0A193C90"/>
    <w:rsid w:val="0A1A77A1"/>
    <w:rsid w:val="0A3E3D26"/>
    <w:rsid w:val="0A4834F8"/>
    <w:rsid w:val="0A6173D2"/>
    <w:rsid w:val="0A682231"/>
    <w:rsid w:val="0A6825A9"/>
    <w:rsid w:val="0A781198"/>
    <w:rsid w:val="0AAC10E4"/>
    <w:rsid w:val="0AB07E4A"/>
    <w:rsid w:val="0AC93B72"/>
    <w:rsid w:val="0ACA6D38"/>
    <w:rsid w:val="0AD53C26"/>
    <w:rsid w:val="0ADD3B4A"/>
    <w:rsid w:val="0AEE775A"/>
    <w:rsid w:val="0AFF5154"/>
    <w:rsid w:val="0B0260FA"/>
    <w:rsid w:val="0B127FA5"/>
    <w:rsid w:val="0B187C06"/>
    <w:rsid w:val="0B462863"/>
    <w:rsid w:val="0B4B3360"/>
    <w:rsid w:val="0B6153F6"/>
    <w:rsid w:val="0B6C4BE2"/>
    <w:rsid w:val="0B895D1E"/>
    <w:rsid w:val="0B903157"/>
    <w:rsid w:val="0B9335CE"/>
    <w:rsid w:val="0BA653BF"/>
    <w:rsid w:val="0BAC6F99"/>
    <w:rsid w:val="0BCD1EAC"/>
    <w:rsid w:val="0BCF142C"/>
    <w:rsid w:val="0BDC319A"/>
    <w:rsid w:val="0BFB783E"/>
    <w:rsid w:val="0BFD5373"/>
    <w:rsid w:val="0BFD6481"/>
    <w:rsid w:val="0C0F0CD9"/>
    <w:rsid w:val="0C631998"/>
    <w:rsid w:val="0C6821F6"/>
    <w:rsid w:val="0C8170B4"/>
    <w:rsid w:val="0C990787"/>
    <w:rsid w:val="0C992D4F"/>
    <w:rsid w:val="0CAE3A50"/>
    <w:rsid w:val="0CBF15FF"/>
    <w:rsid w:val="0CC20F4F"/>
    <w:rsid w:val="0CD8398F"/>
    <w:rsid w:val="0CD91857"/>
    <w:rsid w:val="0CDA4E4E"/>
    <w:rsid w:val="0CF258A4"/>
    <w:rsid w:val="0D212A41"/>
    <w:rsid w:val="0D214045"/>
    <w:rsid w:val="0D215F2C"/>
    <w:rsid w:val="0D314FE6"/>
    <w:rsid w:val="0D330BC5"/>
    <w:rsid w:val="0D540C02"/>
    <w:rsid w:val="0D571C0F"/>
    <w:rsid w:val="0D637F0E"/>
    <w:rsid w:val="0D645222"/>
    <w:rsid w:val="0D6A5410"/>
    <w:rsid w:val="0D794CB6"/>
    <w:rsid w:val="0D8324ED"/>
    <w:rsid w:val="0D8F059D"/>
    <w:rsid w:val="0D8F5855"/>
    <w:rsid w:val="0D936D15"/>
    <w:rsid w:val="0D9827E5"/>
    <w:rsid w:val="0DAF3D29"/>
    <w:rsid w:val="0DC466B9"/>
    <w:rsid w:val="0DC54945"/>
    <w:rsid w:val="0DF25BA4"/>
    <w:rsid w:val="0DF447F8"/>
    <w:rsid w:val="0DFD573A"/>
    <w:rsid w:val="0DFE1012"/>
    <w:rsid w:val="0E0B029F"/>
    <w:rsid w:val="0E19425F"/>
    <w:rsid w:val="0E230373"/>
    <w:rsid w:val="0E2A41ED"/>
    <w:rsid w:val="0E30302E"/>
    <w:rsid w:val="0E351EED"/>
    <w:rsid w:val="0E397874"/>
    <w:rsid w:val="0E461B92"/>
    <w:rsid w:val="0E6059EA"/>
    <w:rsid w:val="0E632208"/>
    <w:rsid w:val="0E844468"/>
    <w:rsid w:val="0E8C237F"/>
    <w:rsid w:val="0E9E135B"/>
    <w:rsid w:val="0EA44F43"/>
    <w:rsid w:val="0EA62844"/>
    <w:rsid w:val="0EC2669E"/>
    <w:rsid w:val="0ED75315"/>
    <w:rsid w:val="0ED756CF"/>
    <w:rsid w:val="0EE34A0A"/>
    <w:rsid w:val="0EEF23A4"/>
    <w:rsid w:val="0F2500FF"/>
    <w:rsid w:val="0F2A7DB7"/>
    <w:rsid w:val="0F2D61D9"/>
    <w:rsid w:val="0F43254D"/>
    <w:rsid w:val="0F45451E"/>
    <w:rsid w:val="0F5372FC"/>
    <w:rsid w:val="0F543C48"/>
    <w:rsid w:val="0F54568B"/>
    <w:rsid w:val="0F6801CF"/>
    <w:rsid w:val="0F7F71A8"/>
    <w:rsid w:val="0F851480"/>
    <w:rsid w:val="0F9B0554"/>
    <w:rsid w:val="0FAF5422"/>
    <w:rsid w:val="0FAF5990"/>
    <w:rsid w:val="0FB271E8"/>
    <w:rsid w:val="0FB3423F"/>
    <w:rsid w:val="0FB73D2F"/>
    <w:rsid w:val="0FBF1392"/>
    <w:rsid w:val="0FD84D52"/>
    <w:rsid w:val="0FD93801"/>
    <w:rsid w:val="0FDC41E3"/>
    <w:rsid w:val="0FE95EB3"/>
    <w:rsid w:val="100C40A0"/>
    <w:rsid w:val="10131FB5"/>
    <w:rsid w:val="10176676"/>
    <w:rsid w:val="1031732E"/>
    <w:rsid w:val="10327E3A"/>
    <w:rsid w:val="10374301"/>
    <w:rsid w:val="10394E9C"/>
    <w:rsid w:val="103A764D"/>
    <w:rsid w:val="103B6EC4"/>
    <w:rsid w:val="10457DEF"/>
    <w:rsid w:val="10482BD9"/>
    <w:rsid w:val="104A6951"/>
    <w:rsid w:val="105628E7"/>
    <w:rsid w:val="105A27E6"/>
    <w:rsid w:val="10634E8F"/>
    <w:rsid w:val="108120DC"/>
    <w:rsid w:val="108950E7"/>
    <w:rsid w:val="109135C4"/>
    <w:rsid w:val="10A4426E"/>
    <w:rsid w:val="10B656D8"/>
    <w:rsid w:val="10BB6F68"/>
    <w:rsid w:val="10C37A22"/>
    <w:rsid w:val="10C556C7"/>
    <w:rsid w:val="10C55FD8"/>
    <w:rsid w:val="10F772EF"/>
    <w:rsid w:val="11017A58"/>
    <w:rsid w:val="11023D17"/>
    <w:rsid w:val="110F34C8"/>
    <w:rsid w:val="11491151"/>
    <w:rsid w:val="1159543F"/>
    <w:rsid w:val="116230D1"/>
    <w:rsid w:val="116A7E05"/>
    <w:rsid w:val="11722460"/>
    <w:rsid w:val="117A4F14"/>
    <w:rsid w:val="119D6F55"/>
    <w:rsid w:val="11A16A45"/>
    <w:rsid w:val="11CB1987"/>
    <w:rsid w:val="11D529F0"/>
    <w:rsid w:val="11DC5FC8"/>
    <w:rsid w:val="11E71072"/>
    <w:rsid w:val="11F55D84"/>
    <w:rsid w:val="11F95233"/>
    <w:rsid w:val="11FE73E1"/>
    <w:rsid w:val="1206271C"/>
    <w:rsid w:val="120839F3"/>
    <w:rsid w:val="120E39AF"/>
    <w:rsid w:val="12114BE2"/>
    <w:rsid w:val="121911ED"/>
    <w:rsid w:val="12261816"/>
    <w:rsid w:val="122816CA"/>
    <w:rsid w:val="1231523F"/>
    <w:rsid w:val="12392AE3"/>
    <w:rsid w:val="12421044"/>
    <w:rsid w:val="127A5380"/>
    <w:rsid w:val="12957C2C"/>
    <w:rsid w:val="1298079E"/>
    <w:rsid w:val="12AD5EBA"/>
    <w:rsid w:val="12B10442"/>
    <w:rsid w:val="12C319F0"/>
    <w:rsid w:val="12CB7F7B"/>
    <w:rsid w:val="12D57B5A"/>
    <w:rsid w:val="12D60970"/>
    <w:rsid w:val="12DA74FD"/>
    <w:rsid w:val="12E60488"/>
    <w:rsid w:val="130354DD"/>
    <w:rsid w:val="13160E95"/>
    <w:rsid w:val="131D4A08"/>
    <w:rsid w:val="132A077A"/>
    <w:rsid w:val="132B4874"/>
    <w:rsid w:val="13365D96"/>
    <w:rsid w:val="133833D9"/>
    <w:rsid w:val="13401CF4"/>
    <w:rsid w:val="13474541"/>
    <w:rsid w:val="13597FDE"/>
    <w:rsid w:val="13610A7C"/>
    <w:rsid w:val="1370511E"/>
    <w:rsid w:val="138A2CF3"/>
    <w:rsid w:val="139600FA"/>
    <w:rsid w:val="139B1B3C"/>
    <w:rsid w:val="13AC7923"/>
    <w:rsid w:val="13BB36C2"/>
    <w:rsid w:val="13C163E4"/>
    <w:rsid w:val="13CF69C3"/>
    <w:rsid w:val="13E63AA6"/>
    <w:rsid w:val="13EB21F9"/>
    <w:rsid w:val="13F175F7"/>
    <w:rsid w:val="13F85DC5"/>
    <w:rsid w:val="13FC3073"/>
    <w:rsid w:val="14002DA6"/>
    <w:rsid w:val="141601C0"/>
    <w:rsid w:val="14183270"/>
    <w:rsid w:val="141D447E"/>
    <w:rsid w:val="141D6B0B"/>
    <w:rsid w:val="142D6F89"/>
    <w:rsid w:val="144554E0"/>
    <w:rsid w:val="144C2ACB"/>
    <w:rsid w:val="145908CD"/>
    <w:rsid w:val="146975C2"/>
    <w:rsid w:val="148617D9"/>
    <w:rsid w:val="149258A7"/>
    <w:rsid w:val="149321EC"/>
    <w:rsid w:val="149834CA"/>
    <w:rsid w:val="14A979BF"/>
    <w:rsid w:val="14AA6C47"/>
    <w:rsid w:val="14AD74AF"/>
    <w:rsid w:val="14B81325"/>
    <w:rsid w:val="14BB5770"/>
    <w:rsid w:val="14CA4494"/>
    <w:rsid w:val="14DD13B5"/>
    <w:rsid w:val="14DF1102"/>
    <w:rsid w:val="14E74E80"/>
    <w:rsid w:val="14FB05D3"/>
    <w:rsid w:val="14FB1DB1"/>
    <w:rsid w:val="1507775C"/>
    <w:rsid w:val="15082EFA"/>
    <w:rsid w:val="15107A3E"/>
    <w:rsid w:val="15214D63"/>
    <w:rsid w:val="1531629A"/>
    <w:rsid w:val="153E6FE7"/>
    <w:rsid w:val="15535F3F"/>
    <w:rsid w:val="155C3CBE"/>
    <w:rsid w:val="15697093"/>
    <w:rsid w:val="15760076"/>
    <w:rsid w:val="157E5DA4"/>
    <w:rsid w:val="159B3036"/>
    <w:rsid w:val="159F6FD6"/>
    <w:rsid w:val="15A5462A"/>
    <w:rsid w:val="15B01BBF"/>
    <w:rsid w:val="15EC3B3E"/>
    <w:rsid w:val="15F1786F"/>
    <w:rsid w:val="15F46C2A"/>
    <w:rsid w:val="16121567"/>
    <w:rsid w:val="16175528"/>
    <w:rsid w:val="162D4D4B"/>
    <w:rsid w:val="16343F81"/>
    <w:rsid w:val="163948ED"/>
    <w:rsid w:val="164275F4"/>
    <w:rsid w:val="164717FA"/>
    <w:rsid w:val="1654148B"/>
    <w:rsid w:val="165710DF"/>
    <w:rsid w:val="16573B76"/>
    <w:rsid w:val="165B71D5"/>
    <w:rsid w:val="165E3157"/>
    <w:rsid w:val="16600F26"/>
    <w:rsid w:val="16673318"/>
    <w:rsid w:val="16700A7A"/>
    <w:rsid w:val="16734728"/>
    <w:rsid w:val="167D1103"/>
    <w:rsid w:val="1683572D"/>
    <w:rsid w:val="169E0BEA"/>
    <w:rsid w:val="16AF7EFC"/>
    <w:rsid w:val="16DD2BAC"/>
    <w:rsid w:val="16F70EB5"/>
    <w:rsid w:val="17197085"/>
    <w:rsid w:val="172460AC"/>
    <w:rsid w:val="172B1987"/>
    <w:rsid w:val="173054B2"/>
    <w:rsid w:val="17424EAD"/>
    <w:rsid w:val="174C1699"/>
    <w:rsid w:val="17544559"/>
    <w:rsid w:val="175E7E76"/>
    <w:rsid w:val="1763479D"/>
    <w:rsid w:val="178667F0"/>
    <w:rsid w:val="178A4C4F"/>
    <w:rsid w:val="17942AA9"/>
    <w:rsid w:val="17987255"/>
    <w:rsid w:val="179928AA"/>
    <w:rsid w:val="17A739C7"/>
    <w:rsid w:val="17BF3122"/>
    <w:rsid w:val="17C212EB"/>
    <w:rsid w:val="17C42121"/>
    <w:rsid w:val="17D82A95"/>
    <w:rsid w:val="17FB6C91"/>
    <w:rsid w:val="18053F1E"/>
    <w:rsid w:val="18085749"/>
    <w:rsid w:val="180B6D06"/>
    <w:rsid w:val="181A3262"/>
    <w:rsid w:val="181C3FF8"/>
    <w:rsid w:val="18365CFA"/>
    <w:rsid w:val="184114A1"/>
    <w:rsid w:val="18425C49"/>
    <w:rsid w:val="186969E3"/>
    <w:rsid w:val="188C7694"/>
    <w:rsid w:val="18BE3F0D"/>
    <w:rsid w:val="18C140E3"/>
    <w:rsid w:val="18CD6371"/>
    <w:rsid w:val="18DA0A8E"/>
    <w:rsid w:val="18DC03A2"/>
    <w:rsid w:val="18E11EA5"/>
    <w:rsid w:val="18FA4C8D"/>
    <w:rsid w:val="19054750"/>
    <w:rsid w:val="19083037"/>
    <w:rsid w:val="19092828"/>
    <w:rsid w:val="19103908"/>
    <w:rsid w:val="1933462F"/>
    <w:rsid w:val="19390D64"/>
    <w:rsid w:val="19554C37"/>
    <w:rsid w:val="19566DB3"/>
    <w:rsid w:val="196279A1"/>
    <w:rsid w:val="198040A4"/>
    <w:rsid w:val="198C37FE"/>
    <w:rsid w:val="19A941C1"/>
    <w:rsid w:val="19AE5ACF"/>
    <w:rsid w:val="19AF5A77"/>
    <w:rsid w:val="19B3071D"/>
    <w:rsid w:val="19B675DA"/>
    <w:rsid w:val="19C57049"/>
    <w:rsid w:val="19C637E5"/>
    <w:rsid w:val="19C721FB"/>
    <w:rsid w:val="19CE5CD8"/>
    <w:rsid w:val="19F02EFF"/>
    <w:rsid w:val="1A052165"/>
    <w:rsid w:val="1A063EF5"/>
    <w:rsid w:val="1A0F3AD5"/>
    <w:rsid w:val="1A0F6516"/>
    <w:rsid w:val="1A0F7374"/>
    <w:rsid w:val="1A142D27"/>
    <w:rsid w:val="1A1816AF"/>
    <w:rsid w:val="1A302494"/>
    <w:rsid w:val="1A304E0A"/>
    <w:rsid w:val="1A330E88"/>
    <w:rsid w:val="1A60672B"/>
    <w:rsid w:val="1A630F50"/>
    <w:rsid w:val="1A66082C"/>
    <w:rsid w:val="1A6732FB"/>
    <w:rsid w:val="1A7929A3"/>
    <w:rsid w:val="1A7B4669"/>
    <w:rsid w:val="1A870B38"/>
    <w:rsid w:val="1A8C5DB8"/>
    <w:rsid w:val="1A8C6CF6"/>
    <w:rsid w:val="1A9417D9"/>
    <w:rsid w:val="1AA572B8"/>
    <w:rsid w:val="1AA70EB7"/>
    <w:rsid w:val="1AAA4949"/>
    <w:rsid w:val="1AB31D2F"/>
    <w:rsid w:val="1AC00AAF"/>
    <w:rsid w:val="1ACE55DA"/>
    <w:rsid w:val="1ACE6054"/>
    <w:rsid w:val="1ACE6D27"/>
    <w:rsid w:val="1AE0038B"/>
    <w:rsid w:val="1AF51BB0"/>
    <w:rsid w:val="1B397563"/>
    <w:rsid w:val="1B403FA5"/>
    <w:rsid w:val="1B450A9E"/>
    <w:rsid w:val="1B481CDF"/>
    <w:rsid w:val="1B4B17D0"/>
    <w:rsid w:val="1B524326"/>
    <w:rsid w:val="1B55168B"/>
    <w:rsid w:val="1B63458F"/>
    <w:rsid w:val="1B645069"/>
    <w:rsid w:val="1B7D1BE7"/>
    <w:rsid w:val="1B7D1D15"/>
    <w:rsid w:val="1B8637EA"/>
    <w:rsid w:val="1B966EEF"/>
    <w:rsid w:val="1BDD1B28"/>
    <w:rsid w:val="1BE57F51"/>
    <w:rsid w:val="1C022610"/>
    <w:rsid w:val="1C037CCC"/>
    <w:rsid w:val="1C085913"/>
    <w:rsid w:val="1C0876C1"/>
    <w:rsid w:val="1C2F4A48"/>
    <w:rsid w:val="1C37598E"/>
    <w:rsid w:val="1C400DCC"/>
    <w:rsid w:val="1C4A3D51"/>
    <w:rsid w:val="1C550B58"/>
    <w:rsid w:val="1C6062B5"/>
    <w:rsid w:val="1C656B00"/>
    <w:rsid w:val="1C657709"/>
    <w:rsid w:val="1C6D522B"/>
    <w:rsid w:val="1C762201"/>
    <w:rsid w:val="1C87757C"/>
    <w:rsid w:val="1C911F05"/>
    <w:rsid w:val="1C9232F2"/>
    <w:rsid w:val="1C943E77"/>
    <w:rsid w:val="1C993860"/>
    <w:rsid w:val="1CB517E1"/>
    <w:rsid w:val="1CBF5FD1"/>
    <w:rsid w:val="1CC07FCD"/>
    <w:rsid w:val="1CCD060E"/>
    <w:rsid w:val="1CD4109A"/>
    <w:rsid w:val="1CDE3631"/>
    <w:rsid w:val="1CE814D1"/>
    <w:rsid w:val="1CFE11B3"/>
    <w:rsid w:val="1D00167E"/>
    <w:rsid w:val="1D01132A"/>
    <w:rsid w:val="1D022EEB"/>
    <w:rsid w:val="1D2C5B34"/>
    <w:rsid w:val="1D3444B7"/>
    <w:rsid w:val="1D3A1AFC"/>
    <w:rsid w:val="1D3F2887"/>
    <w:rsid w:val="1D413DD6"/>
    <w:rsid w:val="1D442082"/>
    <w:rsid w:val="1D494085"/>
    <w:rsid w:val="1D6104E9"/>
    <w:rsid w:val="1D6D5E73"/>
    <w:rsid w:val="1D6E2EA0"/>
    <w:rsid w:val="1D7C0366"/>
    <w:rsid w:val="1D90430C"/>
    <w:rsid w:val="1DA228F6"/>
    <w:rsid w:val="1DA26C67"/>
    <w:rsid w:val="1DB571C9"/>
    <w:rsid w:val="1DBF6F58"/>
    <w:rsid w:val="1DFC5003"/>
    <w:rsid w:val="1E2527AC"/>
    <w:rsid w:val="1E2A3F9F"/>
    <w:rsid w:val="1E371F29"/>
    <w:rsid w:val="1E65546D"/>
    <w:rsid w:val="1E7B6900"/>
    <w:rsid w:val="1E933E22"/>
    <w:rsid w:val="1EB60A31"/>
    <w:rsid w:val="1EC6457D"/>
    <w:rsid w:val="1EC7170B"/>
    <w:rsid w:val="1EC7534C"/>
    <w:rsid w:val="1ECD7160"/>
    <w:rsid w:val="1ED34F83"/>
    <w:rsid w:val="1ED641E3"/>
    <w:rsid w:val="1EED4935"/>
    <w:rsid w:val="1EF15FC6"/>
    <w:rsid w:val="1F196F16"/>
    <w:rsid w:val="1F1F544D"/>
    <w:rsid w:val="1F294330"/>
    <w:rsid w:val="1F2A3EE6"/>
    <w:rsid w:val="1F5164BE"/>
    <w:rsid w:val="1F530AFF"/>
    <w:rsid w:val="1F550636"/>
    <w:rsid w:val="1F6725BD"/>
    <w:rsid w:val="1F6F0182"/>
    <w:rsid w:val="1F751014"/>
    <w:rsid w:val="1F7A16FF"/>
    <w:rsid w:val="1F841E94"/>
    <w:rsid w:val="1F86410F"/>
    <w:rsid w:val="1F8654CC"/>
    <w:rsid w:val="1F987D78"/>
    <w:rsid w:val="1FAD0B55"/>
    <w:rsid w:val="1FB57B5F"/>
    <w:rsid w:val="1FBA786C"/>
    <w:rsid w:val="1FC55FF4"/>
    <w:rsid w:val="1FDF7221"/>
    <w:rsid w:val="1FE07DD2"/>
    <w:rsid w:val="1FF72B1D"/>
    <w:rsid w:val="2000702C"/>
    <w:rsid w:val="201952D2"/>
    <w:rsid w:val="2020109E"/>
    <w:rsid w:val="20220096"/>
    <w:rsid w:val="202816B6"/>
    <w:rsid w:val="20352DB6"/>
    <w:rsid w:val="204E725A"/>
    <w:rsid w:val="205050F3"/>
    <w:rsid w:val="20665891"/>
    <w:rsid w:val="208241B4"/>
    <w:rsid w:val="208F5999"/>
    <w:rsid w:val="20B05494"/>
    <w:rsid w:val="20BD4F1E"/>
    <w:rsid w:val="20D109C9"/>
    <w:rsid w:val="20EE5770"/>
    <w:rsid w:val="2107261C"/>
    <w:rsid w:val="21147FEE"/>
    <w:rsid w:val="2132760F"/>
    <w:rsid w:val="213F7E47"/>
    <w:rsid w:val="21592FEC"/>
    <w:rsid w:val="215B2DFE"/>
    <w:rsid w:val="215C5CD9"/>
    <w:rsid w:val="215F2E6D"/>
    <w:rsid w:val="218B2E3C"/>
    <w:rsid w:val="219E13DD"/>
    <w:rsid w:val="21B5456C"/>
    <w:rsid w:val="21C0289A"/>
    <w:rsid w:val="21C314C7"/>
    <w:rsid w:val="21CB366A"/>
    <w:rsid w:val="21E53DD4"/>
    <w:rsid w:val="21FE67C3"/>
    <w:rsid w:val="21FF567A"/>
    <w:rsid w:val="220019CB"/>
    <w:rsid w:val="22080E1D"/>
    <w:rsid w:val="222E4A4B"/>
    <w:rsid w:val="224564ED"/>
    <w:rsid w:val="225B1C1A"/>
    <w:rsid w:val="22655D1C"/>
    <w:rsid w:val="227A5579"/>
    <w:rsid w:val="227B3EC3"/>
    <w:rsid w:val="22AC6E9D"/>
    <w:rsid w:val="22AF6B28"/>
    <w:rsid w:val="22BF1959"/>
    <w:rsid w:val="22FE3A70"/>
    <w:rsid w:val="23007343"/>
    <w:rsid w:val="230A1D1E"/>
    <w:rsid w:val="230F3D0A"/>
    <w:rsid w:val="232E3EB1"/>
    <w:rsid w:val="23341448"/>
    <w:rsid w:val="23385650"/>
    <w:rsid w:val="23425BAE"/>
    <w:rsid w:val="23517B9F"/>
    <w:rsid w:val="23531B69"/>
    <w:rsid w:val="235C6C70"/>
    <w:rsid w:val="237F04EF"/>
    <w:rsid w:val="23841437"/>
    <w:rsid w:val="238A3CA3"/>
    <w:rsid w:val="23AF4708"/>
    <w:rsid w:val="23C16A9A"/>
    <w:rsid w:val="23C465C3"/>
    <w:rsid w:val="23E66003"/>
    <w:rsid w:val="23EA427B"/>
    <w:rsid w:val="23F80076"/>
    <w:rsid w:val="23FE2FB7"/>
    <w:rsid w:val="23FE3AF7"/>
    <w:rsid w:val="241B7142"/>
    <w:rsid w:val="24452007"/>
    <w:rsid w:val="244802C7"/>
    <w:rsid w:val="244C0B39"/>
    <w:rsid w:val="245A32E7"/>
    <w:rsid w:val="24635935"/>
    <w:rsid w:val="24660E6A"/>
    <w:rsid w:val="24665559"/>
    <w:rsid w:val="24691825"/>
    <w:rsid w:val="248E0BEE"/>
    <w:rsid w:val="249222CA"/>
    <w:rsid w:val="24B056E4"/>
    <w:rsid w:val="24CC572F"/>
    <w:rsid w:val="24CF65FC"/>
    <w:rsid w:val="24D258A5"/>
    <w:rsid w:val="24DA6A74"/>
    <w:rsid w:val="24DB4BCD"/>
    <w:rsid w:val="24F602A0"/>
    <w:rsid w:val="250025A0"/>
    <w:rsid w:val="25296C9F"/>
    <w:rsid w:val="25401D76"/>
    <w:rsid w:val="2544236B"/>
    <w:rsid w:val="25453733"/>
    <w:rsid w:val="256C3562"/>
    <w:rsid w:val="257F6C45"/>
    <w:rsid w:val="258C736F"/>
    <w:rsid w:val="25977271"/>
    <w:rsid w:val="259B2D68"/>
    <w:rsid w:val="259E7D45"/>
    <w:rsid w:val="25A6077B"/>
    <w:rsid w:val="25A941CC"/>
    <w:rsid w:val="25A97E1E"/>
    <w:rsid w:val="25B40CD0"/>
    <w:rsid w:val="25BF4424"/>
    <w:rsid w:val="25C17AFA"/>
    <w:rsid w:val="25C251DB"/>
    <w:rsid w:val="25E00E0C"/>
    <w:rsid w:val="25EF379B"/>
    <w:rsid w:val="260C11C1"/>
    <w:rsid w:val="261049C1"/>
    <w:rsid w:val="261E645E"/>
    <w:rsid w:val="26383109"/>
    <w:rsid w:val="2641214D"/>
    <w:rsid w:val="26597FFC"/>
    <w:rsid w:val="26697AAB"/>
    <w:rsid w:val="266D2F42"/>
    <w:rsid w:val="2673065B"/>
    <w:rsid w:val="26746071"/>
    <w:rsid w:val="267839D3"/>
    <w:rsid w:val="26802C75"/>
    <w:rsid w:val="268423E1"/>
    <w:rsid w:val="26890627"/>
    <w:rsid w:val="26937CAB"/>
    <w:rsid w:val="26A43060"/>
    <w:rsid w:val="26BB1EFF"/>
    <w:rsid w:val="26BB2001"/>
    <w:rsid w:val="26C467F8"/>
    <w:rsid w:val="26E35358"/>
    <w:rsid w:val="270E00FE"/>
    <w:rsid w:val="270E298C"/>
    <w:rsid w:val="270E29F5"/>
    <w:rsid w:val="271512D2"/>
    <w:rsid w:val="272A0E33"/>
    <w:rsid w:val="272A2D2F"/>
    <w:rsid w:val="274020AE"/>
    <w:rsid w:val="27446B6F"/>
    <w:rsid w:val="274F752C"/>
    <w:rsid w:val="27520933"/>
    <w:rsid w:val="27584657"/>
    <w:rsid w:val="275E5A93"/>
    <w:rsid w:val="27736226"/>
    <w:rsid w:val="27755DA7"/>
    <w:rsid w:val="277C7F9A"/>
    <w:rsid w:val="279D2924"/>
    <w:rsid w:val="27A52E1A"/>
    <w:rsid w:val="27AC7A9A"/>
    <w:rsid w:val="27C53958"/>
    <w:rsid w:val="27D36D37"/>
    <w:rsid w:val="27DA4B73"/>
    <w:rsid w:val="27E61F25"/>
    <w:rsid w:val="27EC31BB"/>
    <w:rsid w:val="27ED2CBD"/>
    <w:rsid w:val="27F63DA6"/>
    <w:rsid w:val="27FA5CB6"/>
    <w:rsid w:val="280D34EA"/>
    <w:rsid w:val="280F105E"/>
    <w:rsid w:val="281466B1"/>
    <w:rsid w:val="281713B7"/>
    <w:rsid w:val="281824A7"/>
    <w:rsid w:val="28312BBF"/>
    <w:rsid w:val="283B7736"/>
    <w:rsid w:val="285F673E"/>
    <w:rsid w:val="28644CCA"/>
    <w:rsid w:val="28687E65"/>
    <w:rsid w:val="28732D83"/>
    <w:rsid w:val="288F6949"/>
    <w:rsid w:val="28911AF2"/>
    <w:rsid w:val="289151CA"/>
    <w:rsid w:val="28A10C81"/>
    <w:rsid w:val="28A2680F"/>
    <w:rsid w:val="28DF17A9"/>
    <w:rsid w:val="28EB31BC"/>
    <w:rsid w:val="28EB583C"/>
    <w:rsid w:val="28EC2844"/>
    <w:rsid w:val="28F402DA"/>
    <w:rsid w:val="28FC78BE"/>
    <w:rsid w:val="29000A40"/>
    <w:rsid w:val="290F29AF"/>
    <w:rsid w:val="292D0766"/>
    <w:rsid w:val="293634F4"/>
    <w:rsid w:val="29600B3C"/>
    <w:rsid w:val="29606D8E"/>
    <w:rsid w:val="29671ECA"/>
    <w:rsid w:val="29770361"/>
    <w:rsid w:val="2985201E"/>
    <w:rsid w:val="298567F4"/>
    <w:rsid w:val="29C55899"/>
    <w:rsid w:val="29D3130E"/>
    <w:rsid w:val="29F2147C"/>
    <w:rsid w:val="2A0C4A40"/>
    <w:rsid w:val="2A0D3DED"/>
    <w:rsid w:val="2A104310"/>
    <w:rsid w:val="2A134AF4"/>
    <w:rsid w:val="2A255C2B"/>
    <w:rsid w:val="2A2B7BC9"/>
    <w:rsid w:val="2A3A5DF9"/>
    <w:rsid w:val="2A40660C"/>
    <w:rsid w:val="2A4926C2"/>
    <w:rsid w:val="2A4B107A"/>
    <w:rsid w:val="2A4D2BFD"/>
    <w:rsid w:val="2A530EDF"/>
    <w:rsid w:val="2A574428"/>
    <w:rsid w:val="2A5F6992"/>
    <w:rsid w:val="2A7949E3"/>
    <w:rsid w:val="2A80647C"/>
    <w:rsid w:val="2A8E62B6"/>
    <w:rsid w:val="2A9572CC"/>
    <w:rsid w:val="2AA9206F"/>
    <w:rsid w:val="2AB9400D"/>
    <w:rsid w:val="2AD81233"/>
    <w:rsid w:val="2AE63EFE"/>
    <w:rsid w:val="2B053749"/>
    <w:rsid w:val="2B195446"/>
    <w:rsid w:val="2B2E227F"/>
    <w:rsid w:val="2B2F07C6"/>
    <w:rsid w:val="2B3404E2"/>
    <w:rsid w:val="2B363CF4"/>
    <w:rsid w:val="2B3A7305"/>
    <w:rsid w:val="2B425FD0"/>
    <w:rsid w:val="2B4268A6"/>
    <w:rsid w:val="2B536BAA"/>
    <w:rsid w:val="2B8C79C6"/>
    <w:rsid w:val="2B9B40AD"/>
    <w:rsid w:val="2B9B4F58"/>
    <w:rsid w:val="2BA3696C"/>
    <w:rsid w:val="2BAA0794"/>
    <w:rsid w:val="2BB67A51"/>
    <w:rsid w:val="2BB769EE"/>
    <w:rsid w:val="2BB8130D"/>
    <w:rsid w:val="2BC058C2"/>
    <w:rsid w:val="2BC1223D"/>
    <w:rsid w:val="2BC40014"/>
    <w:rsid w:val="2BC51B34"/>
    <w:rsid w:val="2BDE3F9A"/>
    <w:rsid w:val="2BE07D12"/>
    <w:rsid w:val="2BF95140"/>
    <w:rsid w:val="2C063C1D"/>
    <w:rsid w:val="2C0B194E"/>
    <w:rsid w:val="2C1A4F62"/>
    <w:rsid w:val="2C3447BE"/>
    <w:rsid w:val="2C3C07B5"/>
    <w:rsid w:val="2C3D3C75"/>
    <w:rsid w:val="2C4B420E"/>
    <w:rsid w:val="2C56006A"/>
    <w:rsid w:val="2C5F50DB"/>
    <w:rsid w:val="2C660165"/>
    <w:rsid w:val="2C6619D7"/>
    <w:rsid w:val="2C6A0BA3"/>
    <w:rsid w:val="2C6E17C2"/>
    <w:rsid w:val="2C8A76F4"/>
    <w:rsid w:val="2C931BC6"/>
    <w:rsid w:val="2CA45E14"/>
    <w:rsid w:val="2CB43679"/>
    <w:rsid w:val="2CB62CA6"/>
    <w:rsid w:val="2CD40261"/>
    <w:rsid w:val="2CEE34EF"/>
    <w:rsid w:val="2CF605F7"/>
    <w:rsid w:val="2D016FE9"/>
    <w:rsid w:val="2D14362B"/>
    <w:rsid w:val="2D2E304F"/>
    <w:rsid w:val="2D3C07FE"/>
    <w:rsid w:val="2D5756FC"/>
    <w:rsid w:val="2D5D5591"/>
    <w:rsid w:val="2D74743A"/>
    <w:rsid w:val="2D7C11D4"/>
    <w:rsid w:val="2D7F4766"/>
    <w:rsid w:val="2D8D3A62"/>
    <w:rsid w:val="2DAF3E40"/>
    <w:rsid w:val="2DBE7F60"/>
    <w:rsid w:val="2DF6381D"/>
    <w:rsid w:val="2DF6788C"/>
    <w:rsid w:val="2E0D1588"/>
    <w:rsid w:val="2E3944B7"/>
    <w:rsid w:val="2E4749F8"/>
    <w:rsid w:val="2E4C1B78"/>
    <w:rsid w:val="2E73313B"/>
    <w:rsid w:val="2E7A26A0"/>
    <w:rsid w:val="2E866E5E"/>
    <w:rsid w:val="2E9077CD"/>
    <w:rsid w:val="2EA916B2"/>
    <w:rsid w:val="2EB46A04"/>
    <w:rsid w:val="2EB84F76"/>
    <w:rsid w:val="2EC62DA5"/>
    <w:rsid w:val="2ECB7077"/>
    <w:rsid w:val="2EDA313F"/>
    <w:rsid w:val="2EED318E"/>
    <w:rsid w:val="2EFE3F3B"/>
    <w:rsid w:val="2F0F1794"/>
    <w:rsid w:val="2F176141"/>
    <w:rsid w:val="2F1A0856"/>
    <w:rsid w:val="2F2B5B05"/>
    <w:rsid w:val="2F475C7E"/>
    <w:rsid w:val="2F486024"/>
    <w:rsid w:val="2F523B34"/>
    <w:rsid w:val="2F5E78CC"/>
    <w:rsid w:val="2F681310"/>
    <w:rsid w:val="2F6C283B"/>
    <w:rsid w:val="2F743B89"/>
    <w:rsid w:val="2F7E2877"/>
    <w:rsid w:val="2F8567D8"/>
    <w:rsid w:val="2F8B5040"/>
    <w:rsid w:val="2F9107C4"/>
    <w:rsid w:val="2F961B57"/>
    <w:rsid w:val="2FDC6A42"/>
    <w:rsid w:val="2FE65B09"/>
    <w:rsid w:val="2FFF53A8"/>
    <w:rsid w:val="30047098"/>
    <w:rsid w:val="30077F63"/>
    <w:rsid w:val="30115CE5"/>
    <w:rsid w:val="30135C1F"/>
    <w:rsid w:val="30191760"/>
    <w:rsid w:val="3028092A"/>
    <w:rsid w:val="302F54E7"/>
    <w:rsid w:val="304863A9"/>
    <w:rsid w:val="30726790"/>
    <w:rsid w:val="30801AC4"/>
    <w:rsid w:val="30823D65"/>
    <w:rsid w:val="30831C53"/>
    <w:rsid w:val="308E438B"/>
    <w:rsid w:val="30A43A04"/>
    <w:rsid w:val="30C87FB8"/>
    <w:rsid w:val="30CB1DAF"/>
    <w:rsid w:val="30E90E2B"/>
    <w:rsid w:val="30ED02EA"/>
    <w:rsid w:val="30FF267A"/>
    <w:rsid w:val="310A2A14"/>
    <w:rsid w:val="310F59F0"/>
    <w:rsid w:val="31395BA8"/>
    <w:rsid w:val="3141666D"/>
    <w:rsid w:val="31480833"/>
    <w:rsid w:val="314B14BF"/>
    <w:rsid w:val="3158219E"/>
    <w:rsid w:val="316D537E"/>
    <w:rsid w:val="31716348"/>
    <w:rsid w:val="317355F2"/>
    <w:rsid w:val="3185517F"/>
    <w:rsid w:val="3185793C"/>
    <w:rsid w:val="319475D5"/>
    <w:rsid w:val="31975317"/>
    <w:rsid w:val="31A87524"/>
    <w:rsid w:val="31B06C89"/>
    <w:rsid w:val="31B91778"/>
    <w:rsid w:val="31C2569E"/>
    <w:rsid w:val="31C96BD0"/>
    <w:rsid w:val="31D04385"/>
    <w:rsid w:val="31D9377A"/>
    <w:rsid w:val="31E15891"/>
    <w:rsid w:val="31F043F4"/>
    <w:rsid w:val="32170EE1"/>
    <w:rsid w:val="324724FF"/>
    <w:rsid w:val="325066A8"/>
    <w:rsid w:val="32563FE3"/>
    <w:rsid w:val="325D3410"/>
    <w:rsid w:val="3260226B"/>
    <w:rsid w:val="3264169D"/>
    <w:rsid w:val="327652E9"/>
    <w:rsid w:val="327A5FF1"/>
    <w:rsid w:val="32A55CC0"/>
    <w:rsid w:val="32A937D2"/>
    <w:rsid w:val="32C95971"/>
    <w:rsid w:val="32CF5928"/>
    <w:rsid w:val="32D3678F"/>
    <w:rsid w:val="32E41009"/>
    <w:rsid w:val="32E9078F"/>
    <w:rsid w:val="32ED34FF"/>
    <w:rsid w:val="330856D0"/>
    <w:rsid w:val="33316646"/>
    <w:rsid w:val="333A06E2"/>
    <w:rsid w:val="33462B8C"/>
    <w:rsid w:val="33491C13"/>
    <w:rsid w:val="335E45B2"/>
    <w:rsid w:val="33680D19"/>
    <w:rsid w:val="33691E57"/>
    <w:rsid w:val="336E025D"/>
    <w:rsid w:val="33735D99"/>
    <w:rsid w:val="33736E76"/>
    <w:rsid w:val="337570A4"/>
    <w:rsid w:val="33833CFC"/>
    <w:rsid w:val="33A269EC"/>
    <w:rsid w:val="33A856B1"/>
    <w:rsid w:val="33A930DF"/>
    <w:rsid w:val="33AB2922"/>
    <w:rsid w:val="33B73314"/>
    <w:rsid w:val="33C50B9E"/>
    <w:rsid w:val="33D30EC6"/>
    <w:rsid w:val="33D867E1"/>
    <w:rsid w:val="33D976B3"/>
    <w:rsid w:val="33DB2EFB"/>
    <w:rsid w:val="33DC6CF8"/>
    <w:rsid w:val="33EE36D1"/>
    <w:rsid w:val="33F54490"/>
    <w:rsid w:val="33F85833"/>
    <w:rsid w:val="33F94458"/>
    <w:rsid w:val="340B1EAD"/>
    <w:rsid w:val="34111989"/>
    <w:rsid w:val="341266A4"/>
    <w:rsid w:val="3429350C"/>
    <w:rsid w:val="343C76C2"/>
    <w:rsid w:val="343D0166"/>
    <w:rsid w:val="343D6C24"/>
    <w:rsid w:val="345873A9"/>
    <w:rsid w:val="347C5D20"/>
    <w:rsid w:val="348C4EDB"/>
    <w:rsid w:val="34997F68"/>
    <w:rsid w:val="34AF7CC9"/>
    <w:rsid w:val="34B14942"/>
    <w:rsid w:val="34E526B4"/>
    <w:rsid w:val="34F03DC0"/>
    <w:rsid w:val="34FE7262"/>
    <w:rsid w:val="352407FC"/>
    <w:rsid w:val="352612DF"/>
    <w:rsid w:val="35284201"/>
    <w:rsid w:val="352E07F0"/>
    <w:rsid w:val="35322B1F"/>
    <w:rsid w:val="3535498A"/>
    <w:rsid w:val="35471E10"/>
    <w:rsid w:val="354F3660"/>
    <w:rsid w:val="355004C3"/>
    <w:rsid w:val="3556146D"/>
    <w:rsid w:val="355724F0"/>
    <w:rsid w:val="356B5D07"/>
    <w:rsid w:val="35810326"/>
    <w:rsid w:val="358C5E8C"/>
    <w:rsid w:val="358D7C9B"/>
    <w:rsid w:val="358E2186"/>
    <w:rsid w:val="35941976"/>
    <w:rsid w:val="35AA4C6A"/>
    <w:rsid w:val="35B90B5D"/>
    <w:rsid w:val="35C81F43"/>
    <w:rsid w:val="35CB1A33"/>
    <w:rsid w:val="35CC1726"/>
    <w:rsid w:val="35DE239E"/>
    <w:rsid w:val="35E06512"/>
    <w:rsid w:val="35E33F92"/>
    <w:rsid w:val="36010FB1"/>
    <w:rsid w:val="360212D1"/>
    <w:rsid w:val="360C7B72"/>
    <w:rsid w:val="360E2480"/>
    <w:rsid w:val="361327DB"/>
    <w:rsid w:val="361F1CFE"/>
    <w:rsid w:val="36371201"/>
    <w:rsid w:val="363720E3"/>
    <w:rsid w:val="3639711B"/>
    <w:rsid w:val="363E765D"/>
    <w:rsid w:val="36592830"/>
    <w:rsid w:val="36632356"/>
    <w:rsid w:val="367409D2"/>
    <w:rsid w:val="367B56C5"/>
    <w:rsid w:val="367C5173"/>
    <w:rsid w:val="36915D46"/>
    <w:rsid w:val="36B81FB7"/>
    <w:rsid w:val="36CA31B0"/>
    <w:rsid w:val="36D20797"/>
    <w:rsid w:val="36E65B3A"/>
    <w:rsid w:val="36FF3742"/>
    <w:rsid w:val="370346A6"/>
    <w:rsid w:val="37113475"/>
    <w:rsid w:val="37252E94"/>
    <w:rsid w:val="37296474"/>
    <w:rsid w:val="373227C5"/>
    <w:rsid w:val="37405833"/>
    <w:rsid w:val="374101FF"/>
    <w:rsid w:val="375869AC"/>
    <w:rsid w:val="375B253A"/>
    <w:rsid w:val="37666B6B"/>
    <w:rsid w:val="37675674"/>
    <w:rsid w:val="376B1978"/>
    <w:rsid w:val="37940CA8"/>
    <w:rsid w:val="37D848CF"/>
    <w:rsid w:val="37DA41AF"/>
    <w:rsid w:val="37DB157C"/>
    <w:rsid w:val="37DB3C7D"/>
    <w:rsid w:val="37EE7D30"/>
    <w:rsid w:val="37F62976"/>
    <w:rsid w:val="37F77F19"/>
    <w:rsid w:val="38042FDA"/>
    <w:rsid w:val="381C3F20"/>
    <w:rsid w:val="3822692C"/>
    <w:rsid w:val="38343F2A"/>
    <w:rsid w:val="38490F9C"/>
    <w:rsid w:val="384C1631"/>
    <w:rsid w:val="38542754"/>
    <w:rsid w:val="386C03A0"/>
    <w:rsid w:val="386D6DD1"/>
    <w:rsid w:val="38850AD8"/>
    <w:rsid w:val="38B10FD7"/>
    <w:rsid w:val="38B2326B"/>
    <w:rsid w:val="38BD498D"/>
    <w:rsid w:val="38D81B11"/>
    <w:rsid w:val="38ED2653"/>
    <w:rsid w:val="38FC71A8"/>
    <w:rsid w:val="38FD1F03"/>
    <w:rsid w:val="39020983"/>
    <w:rsid w:val="39037F6C"/>
    <w:rsid w:val="39214610"/>
    <w:rsid w:val="39317DFF"/>
    <w:rsid w:val="39464964"/>
    <w:rsid w:val="395224D9"/>
    <w:rsid w:val="39535FC7"/>
    <w:rsid w:val="395601FC"/>
    <w:rsid w:val="397B4E62"/>
    <w:rsid w:val="39972B1A"/>
    <w:rsid w:val="399A1410"/>
    <w:rsid w:val="39C47D94"/>
    <w:rsid w:val="39CD1539"/>
    <w:rsid w:val="39CD5D32"/>
    <w:rsid w:val="39DA1DFA"/>
    <w:rsid w:val="39DC71EB"/>
    <w:rsid w:val="39DD5D2E"/>
    <w:rsid w:val="39E01A69"/>
    <w:rsid w:val="3A045F91"/>
    <w:rsid w:val="3A076679"/>
    <w:rsid w:val="3A0A0953"/>
    <w:rsid w:val="3A211C22"/>
    <w:rsid w:val="3A2C4127"/>
    <w:rsid w:val="3A4F0AA8"/>
    <w:rsid w:val="3A543DA5"/>
    <w:rsid w:val="3A5576B6"/>
    <w:rsid w:val="3A682780"/>
    <w:rsid w:val="3A697EB7"/>
    <w:rsid w:val="3A7F0311"/>
    <w:rsid w:val="3A8538B6"/>
    <w:rsid w:val="3A884EF1"/>
    <w:rsid w:val="3A8C5141"/>
    <w:rsid w:val="3AA52853"/>
    <w:rsid w:val="3AA648FE"/>
    <w:rsid w:val="3AAA7D3D"/>
    <w:rsid w:val="3AD117FB"/>
    <w:rsid w:val="3AD4138A"/>
    <w:rsid w:val="3AD72904"/>
    <w:rsid w:val="3AD75A09"/>
    <w:rsid w:val="3ADC5AFD"/>
    <w:rsid w:val="3AE17BBC"/>
    <w:rsid w:val="3B007A89"/>
    <w:rsid w:val="3B0F5ABD"/>
    <w:rsid w:val="3B2F4F75"/>
    <w:rsid w:val="3B31477D"/>
    <w:rsid w:val="3B315914"/>
    <w:rsid w:val="3B422101"/>
    <w:rsid w:val="3B4715CB"/>
    <w:rsid w:val="3B5008D7"/>
    <w:rsid w:val="3B7F15E2"/>
    <w:rsid w:val="3B8536A6"/>
    <w:rsid w:val="3B9F0C51"/>
    <w:rsid w:val="3BA00572"/>
    <w:rsid w:val="3BB1021B"/>
    <w:rsid w:val="3BE15B0C"/>
    <w:rsid w:val="3BE64EF0"/>
    <w:rsid w:val="3BF72A83"/>
    <w:rsid w:val="3C135790"/>
    <w:rsid w:val="3C1752F7"/>
    <w:rsid w:val="3C193171"/>
    <w:rsid w:val="3C1E3214"/>
    <w:rsid w:val="3C2528C6"/>
    <w:rsid w:val="3C371BD0"/>
    <w:rsid w:val="3C4F1FEA"/>
    <w:rsid w:val="3C5B6745"/>
    <w:rsid w:val="3C683B38"/>
    <w:rsid w:val="3C686571"/>
    <w:rsid w:val="3C6F5E3B"/>
    <w:rsid w:val="3C83525B"/>
    <w:rsid w:val="3C87375A"/>
    <w:rsid w:val="3C88531F"/>
    <w:rsid w:val="3C8D7A42"/>
    <w:rsid w:val="3C8E189D"/>
    <w:rsid w:val="3CA22EFE"/>
    <w:rsid w:val="3CB8043D"/>
    <w:rsid w:val="3CB94BCA"/>
    <w:rsid w:val="3CC35212"/>
    <w:rsid w:val="3CC50225"/>
    <w:rsid w:val="3CD967E3"/>
    <w:rsid w:val="3CDE231E"/>
    <w:rsid w:val="3D245A63"/>
    <w:rsid w:val="3D36346C"/>
    <w:rsid w:val="3D4269DA"/>
    <w:rsid w:val="3D430EA3"/>
    <w:rsid w:val="3D47560D"/>
    <w:rsid w:val="3D523BCD"/>
    <w:rsid w:val="3D645169"/>
    <w:rsid w:val="3D6933DE"/>
    <w:rsid w:val="3D7C3859"/>
    <w:rsid w:val="3D80607F"/>
    <w:rsid w:val="3D8F2120"/>
    <w:rsid w:val="3D8F30A0"/>
    <w:rsid w:val="3D990E61"/>
    <w:rsid w:val="3DA327E5"/>
    <w:rsid w:val="3DB01C7C"/>
    <w:rsid w:val="3DB334D8"/>
    <w:rsid w:val="3DBA1ADA"/>
    <w:rsid w:val="3DC355A6"/>
    <w:rsid w:val="3DC42D6E"/>
    <w:rsid w:val="3DD009EA"/>
    <w:rsid w:val="3DD122A2"/>
    <w:rsid w:val="3DD64752"/>
    <w:rsid w:val="3DD80DF7"/>
    <w:rsid w:val="3DE17E96"/>
    <w:rsid w:val="3DE26317"/>
    <w:rsid w:val="3DEB1B40"/>
    <w:rsid w:val="3DFC4E7F"/>
    <w:rsid w:val="3E2D1C0D"/>
    <w:rsid w:val="3E352B5B"/>
    <w:rsid w:val="3E3A2755"/>
    <w:rsid w:val="3E463101"/>
    <w:rsid w:val="3E5717D0"/>
    <w:rsid w:val="3E5E04B0"/>
    <w:rsid w:val="3E5F4189"/>
    <w:rsid w:val="3E6C1A3F"/>
    <w:rsid w:val="3E734A16"/>
    <w:rsid w:val="3E752133"/>
    <w:rsid w:val="3E7A5DA4"/>
    <w:rsid w:val="3E953235"/>
    <w:rsid w:val="3EAA3B18"/>
    <w:rsid w:val="3EAA555F"/>
    <w:rsid w:val="3EBC460F"/>
    <w:rsid w:val="3EBD0BAE"/>
    <w:rsid w:val="3EC3774B"/>
    <w:rsid w:val="3ECC3927"/>
    <w:rsid w:val="3ECD2095"/>
    <w:rsid w:val="3EEF22EE"/>
    <w:rsid w:val="3EF02AD3"/>
    <w:rsid w:val="3F024C1A"/>
    <w:rsid w:val="3F0D0FA0"/>
    <w:rsid w:val="3F21052E"/>
    <w:rsid w:val="3F330C34"/>
    <w:rsid w:val="3F3917F4"/>
    <w:rsid w:val="3F397A0D"/>
    <w:rsid w:val="3F4A39C9"/>
    <w:rsid w:val="3F625E8E"/>
    <w:rsid w:val="3F6A673B"/>
    <w:rsid w:val="3F8C2A74"/>
    <w:rsid w:val="3FA70307"/>
    <w:rsid w:val="3FA7458E"/>
    <w:rsid w:val="3FB22390"/>
    <w:rsid w:val="3FCF1529"/>
    <w:rsid w:val="3FDD2A57"/>
    <w:rsid w:val="3FE37E33"/>
    <w:rsid w:val="3FF027C2"/>
    <w:rsid w:val="3FF55C7D"/>
    <w:rsid w:val="3FF676AC"/>
    <w:rsid w:val="400E03CE"/>
    <w:rsid w:val="401171AD"/>
    <w:rsid w:val="40225AF1"/>
    <w:rsid w:val="403D5148"/>
    <w:rsid w:val="403D6B94"/>
    <w:rsid w:val="40507C98"/>
    <w:rsid w:val="40580367"/>
    <w:rsid w:val="4061657E"/>
    <w:rsid w:val="40767673"/>
    <w:rsid w:val="407707ED"/>
    <w:rsid w:val="40892318"/>
    <w:rsid w:val="408E0789"/>
    <w:rsid w:val="40A76FA9"/>
    <w:rsid w:val="40AC084A"/>
    <w:rsid w:val="40D05FDB"/>
    <w:rsid w:val="40DB515E"/>
    <w:rsid w:val="40E30197"/>
    <w:rsid w:val="40E63D94"/>
    <w:rsid w:val="40EA1367"/>
    <w:rsid w:val="40EB151F"/>
    <w:rsid w:val="40ED4F53"/>
    <w:rsid w:val="40F25A91"/>
    <w:rsid w:val="411C387B"/>
    <w:rsid w:val="41292B74"/>
    <w:rsid w:val="41406E31"/>
    <w:rsid w:val="414E3836"/>
    <w:rsid w:val="41592854"/>
    <w:rsid w:val="416E516B"/>
    <w:rsid w:val="418812BB"/>
    <w:rsid w:val="418D4040"/>
    <w:rsid w:val="419E7FFC"/>
    <w:rsid w:val="419F3079"/>
    <w:rsid w:val="41AE3A67"/>
    <w:rsid w:val="41C95125"/>
    <w:rsid w:val="41EA02ED"/>
    <w:rsid w:val="42075BA1"/>
    <w:rsid w:val="4215282E"/>
    <w:rsid w:val="42225E0B"/>
    <w:rsid w:val="42383FB6"/>
    <w:rsid w:val="423D7815"/>
    <w:rsid w:val="424F30C2"/>
    <w:rsid w:val="425E14DB"/>
    <w:rsid w:val="42621029"/>
    <w:rsid w:val="426B4382"/>
    <w:rsid w:val="42725710"/>
    <w:rsid w:val="427358D4"/>
    <w:rsid w:val="42736D87"/>
    <w:rsid w:val="427E086F"/>
    <w:rsid w:val="42826F4F"/>
    <w:rsid w:val="428B0580"/>
    <w:rsid w:val="429A4E70"/>
    <w:rsid w:val="429E14C4"/>
    <w:rsid w:val="42A26186"/>
    <w:rsid w:val="42A94EAA"/>
    <w:rsid w:val="42BA0E65"/>
    <w:rsid w:val="42C13D5C"/>
    <w:rsid w:val="42DD74CF"/>
    <w:rsid w:val="42DF3579"/>
    <w:rsid w:val="42E264C2"/>
    <w:rsid w:val="42E85CD3"/>
    <w:rsid w:val="42F54D63"/>
    <w:rsid w:val="43011E27"/>
    <w:rsid w:val="430D368B"/>
    <w:rsid w:val="430E7950"/>
    <w:rsid w:val="430F20A0"/>
    <w:rsid w:val="43135F0F"/>
    <w:rsid w:val="431B6CC7"/>
    <w:rsid w:val="43225F65"/>
    <w:rsid w:val="435720D9"/>
    <w:rsid w:val="43615785"/>
    <w:rsid w:val="43732880"/>
    <w:rsid w:val="43865952"/>
    <w:rsid w:val="438F0BB0"/>
    <w:rsid w:val="43993170"/>
    <w:rsid w:val="43BF04EA"/>
    <w:rsid w:val="43C05A1E"/>
    <w:rsid w:val="43CF4932"/>
    <w:rsid w:val="43D22CDA"/>
    <w:rsid w:val="43D354DC"/>
    <w:rsid w:val="4405353A"/>
    <w:rsid w:val="44063CF3"/>
    <w:rsid w:val="44072973"/>
    <w:rsid w:val="440920A4"/>
    <w:rsid w:val="44095C00"/>
    <w:rsid w:val="44117E2D"/>
    <w:rsid w:val="441822E7"/>
    <w:rsid w:val="442F13DF"/>
    <w:rsid w:val="44426345"/>
    <w:rsid w:val="444B2816"/>
    <w:rsid w:val="445279AA"/>
    <w:rsid w:val="4453331F"/>
    <w:rsid w:val="445F3A86"/>
    <w:rsid w:val="4478636B"/>
    <w:rsid w:val="447A0DB3"/>
    <w:rsid w:val="4481712B"/>
    <w:rsid w:val="44901E7E"/>
    <w:rsid w:val="449F54A7"/>
    <w:rsid w:val="44A1052F"/>
    <w:rsid w:val="44C93406"/>
    <w:rsid w:val="44D74994"/>
    <w:rsid w:val="44DD0E3B"/>
    <w:rsid w:val="44E67CEF"/>
    <w:rsid w:val="44F62875"/>
    <w:rsid w:val="451730A2"/>
    <w:rsid w:val="451955A3"/>
    <w:rsid w:val="45205199"/>
    <w:rsid w:val="45260B70"/>
    <w:rsid w:val="45357C2D"/>
    <w:rsid w:val="453A003B"/>
    <w:rsid w:val="45467C1A"/>
    <w:rsid w:val="45523E0A"/>
    <w:rsid w:val="45603F46"/>
    <w:rsid w:val="45784EE5"/>
    <w:rsid w:val="457C33A8"/>
    <w:rsid w:val="458804FE"/>
    <w:rsid w:val="458D57CB"/>
    <w:rsid w:val="4595726A"/>
    <w:rsid w:val="45C67177"/>
    <w:rsid w:val="45D048BE"/>
    <w:rsid w:val="45DE626C"/>
    <w:rsid w:val="45EB660D"/>
    <w:rsid w:val="45F13477"/>
    <w:rsid w:val="45FA688F"/>
    <w:rsid w:val="45FD7B3D"/>
    <w:rsid w:val="460A10C2"/>
    <w:rsid w:val="46220C85"/>
    <w:rsid w:val="46230254"/>
    <w:rsid w:val="46244F73"/>
    <w:rsid w:val="46287B26"/>
    <w:rsid w:val="462A00B0"/>
    <w:rsid w:val="462D24EF"/>
    <w:rsid w:val="46427F4E"/>
    <w:rsid w:val="46534E0B"/>
    <w:rsid w:val="4670640B"/>
    <w:rsid w:val="46753897"/>
    <w:rsid w:val="467A71EB"/>
    <w:rsid w:val="46867477"/>
    <w:rsid w:val="468A02AD"/>
    <w:rsid w:val="468B3DD1"/>
    <w:rsid w:val="469043B7"/>
    <w:rsid w:val="46BF4C9C"/>
    <w:rsid w:val="46C936C8"/>
    <w:rsid w:val="46CB1893"/>
    <w:rsid w:val="46D87DE5"/>
    <w:rsid w:val="46E556A4"/>
    <w:rsid w:val="46E97F6B"/>
    <w:rsid w:val="46EA25E1"/>
    <w:rsid w:val="46EB1077"/>
    <w:rsid w:val="470C2558"/>
    <w:rsid w:val="472127B7"/>
    <w:rsid w:val="472165B7"/>
    <w:rsid w:val="47277064"/>
    <w:rsid w:val="47323C17"/>
    <w:rsid w:val="4743767B"/>
    <w:rsid w:val="474E29C1"/>
    <w:rsid w:val="475569C5"/>
    <w:rsid w:val="475A49C5"/>
    <w:rsid w:val="475E2707"/>
    <w:rsid w:val="475E44B5"/>
    <w:rsid w:val="476121D8"/>
    <w:rsid w:val="476A063C"/>
    <w:rsid w:val="477C748E"/>
    <w:rsid w:val="478A7058"/>
    <w:rsid w:val="47941208"/>
    <w:rsid w:val="47A101B2"/>
    <w:rsid w:val="47BF2852"/>
    <w:rsid w:val="47BF386C"/>
    <w:rsid w:val="47C3256A"/>
    <w:rsid w:val="47C95C6C"/>
    <w:rsid w:val="47E250E6"/>
    <w:rsid w:val="47EC7022"/>
    <w:rsid w:val="47FC7940"/>
    <w:rsid w:val="48030B33"/>
    <w:rsid w:val="48046015"/>
    <w:rsid w:val="4819316F"/>
    <w:rsid w:val="482F5E51"/>
    <w:rsid w:val="483F125D"/>
    <w:rsid w:val="48580B32"/>
    <w:rsid w:val="485B43A9"/>
    <w:rsid w:val="48635024"/>
    <w:rsid w:val="487B675C"/>
    <w:rsid w:val="48A85657"/>
    <w:rsid w:val="48A95C04"/>
    <w:rsid w:val="48B22238"/>
    <w:rsid w:val="48B33076"/>
    <w:rsid w:val="48C4330A"/>
    <w:rsid w:val="48D55EB3"/>
    <w:rsid w:val="48DA0701"/>
    <w:rsid w:val="48DF324A"/>
    <w:rsid w:val="48E052EC"/>
    <w:rsid w:val="48E65AEE"/>
    <w:rsid w:val="48F80CE7"/>
    <w:rsid w:val="490177EE"/>
    <w:rsid w:val="49096FCD"/>
    <w:rsid w:val="491D7C08"/>
    <w:rsid w:val="494625B6"/>
    <w:rsid w:val="49507E2D"/>
    <w:rsid w:val="49512BB1"/>
    <w:rsid w:val="495E0009"/>
    <w:rsid w:val="49641F5D"/>
    <w:rsid w:val="49666B6B"/>
    <w:rsid w:val="496F2CCC"/>
    <w:rsid w:val="498F64FC"/>
    <w:rsid w:val="49AD1724"/>
    <w:rsid w:val="49BE7E39"/>
    <w:rsid w:val="49C40005"/>
    <w:rsid w:val="49C65419"/>
    <w:rsid w:val="49D04BAB"/>
    <w:rsid w:val="49EA0282"/>
    <w:rsid w:val="49EA17C4"/>
    <w:rsid w:val="49EF440A"/>
    <w:rsid w:val="4A1A2F12"/>
    <w:rsid w:val="4A2C7C77"/>
    <w:rsid w:val="4A321C6F"/>
    <w:rsid w:val="4A366D8C"/>
    <w:rsid w:val="4A375709"/>
    <w:rsid w:val="4A475BFC"/>
    <w:rsid w:val="4A4E1094"/>
    <w:rsid w:val="4A561717"/>
    <w:rsid w:val="4A606796"/>
    <w:rsid w:val="4A717D8F"/>
    <w:rsid w:val="4A7D0F83"/>
    <w:rsid w:val="4A834A22"/>
    <w:rsid w:val="4A8815D3"/>
    <w:rsid w:val="4A9454F9"/>
    <w:rsid w:val="4A972DF7"/>
    <w:rsid w:val="4A992274"/>
    <w:rsid w:val="4AA77F21"/>
    <w:rsid w:val="4AAA2276"/>
    <w:rsid w:val="4AB64534"/>
    <w:rsid w:val="4ABD14F2"/>
    <w:rsid w:val="4AC66642"/>
    <w:rsid w:val="4AC87549"/>
    <w:rsid w:val="4AD37353"/>
    <w:rsid w:val="4ADC6651"/>
    <w:rsid w:val="4AE2340C"/>
    <w:rsid w:val="4AE72A13"/>
    <w:rsid w:val="4AFF6999"/>
    <w:rsid w:val="4B0E61F2"/>
    <w:rsid w:val="4B21257E"/>
    <w:rsid w:val="4B290FE3"/>
    <w:rsid w:val="4B322207"/>
    <w:rsid w:val="4B3B5793"/>
    <w:rsid w:val="4B58050B"/>
    <w:rsid w:val="4B5A25F7"/>
    <w:rsid w:val="4B6A0768"/>
    <w:rsid w:val="4B6B0CBD"/>
    <w:rsid w:val="4B705719"/>
    <w:rsid w:val="4B7324F9"/>
    <w:rsid w:val="4B7B47F9"/>
    <w:rsid w:val="4BA563FE"/>
    <w:rsid w:val="4BB77663"/>
    <w:rsid w:val="4BC54DE5"/>
    <w:rsid w:val="4BCB7306"/>
    <w:rsid w:val="4BD52968"/>
    <w:rsid w:val="4BD91D02"/>
    <w:rsid w:val="4BE2600E"/>
    <w:rsid w:val="4BE57820"/>
    <w:rsid w:val="4BF657A1"/>
    <w:rsid w:val="4BFB7B74"/>
    <w:rsid w:val="4C0457A1"/>
    <w:rsid w:val="4C3F2C78"/>
    <w:rsid w:val="4C42244E"/>
    <w:rsid w:val="4C437DCE"/>
    <w:rsid w:val="4C6D3DA8"/>
    <w:rsid w:val="4C727CFA"/>
    <w:rsid w:val="4C88081B"/>
    <w:rsid w:val="4C8872A2"/>
    <w:rsid w:val="4C9C19F3"/>
    <w:rsid w:val="4CA47183"/>
    <w:rsid w:val="4CB7606E"/>
    <w:rsid w:val="4CB91CB1"/>
    <w:rsid w:val="4CF745DE"/>
    <w:rsid w:val="4CFC57E0"/>
    <w:rsid w:val="4D087B01"/>
    <w:rsid w:val="4D0B58BC"/>
    <w:rsid w:val="4D0C050F"/>
    <w:rsid w:val="4D0C2AD5"/>
    <w:rsid w:val="4D2059FA"/>
    <w:rsid w:val="4D2E3574"/>
    <w:rsid w:val="4D451B18"/>
    <w:rsid w:val="4D4D5AFE"/>
    <w:rsid w:val="4D502AF2"/>
    <w:rsid w:val="4D5C07F9"/>
    <w:rsid w:val="4D755736"/>
    <w:rsid w:val="4DAC0A3B"/>
    <w:rsid w:val="4DB92102"/>
    <w:rsid w:val="4DBA3E20"/>
    <w:rsid w:val="4DBC5B64"/>
    <w:rsid w:val="4DC679DB"/>
    <w:rsid w:val="4DE61D12"/>
    <w:rsid w:val="4DF1146E"/>
    <w:rsid w:val="4DF82017"/>
    <w:rsid w:val="4E0E661C"/>
    <w:rsid w:val="4E1B3100"/>
    <w:rsid w:val="4E1E3790"/>
    <w:rsid w:val="4E2E44B5"/>
    <w:rsid w:val="4E4C57ED"/>
    <w:rsid w:val="4E5505A6"/>
    <w:rsid w:val="4E820BD8"/>
    <w:rsid w:val="4E8D729C"/>
    <w:rsid w:val="4E8E1C0C"/>
    <w:rsid w:val="4E9609D8"/>
    <w:rsid w:val="4E98004C"/>
    <w:rsid w:val="4EA5208F"/>
    <w:rsid w:val="4EAE617F"/>
    <w:rsid w:val="4EBD702F"/>
    <w:rsid w:val="4EC310A1"/>
    <w:rsid w:val="4EC818B0"/>
    <w:rsid w:val="4ECB59F9"/>
    <w:rsid w:val="4ECE1CAC"/>
    <w:rsid w:val="4EE414BB"/>
    <w:rsid w:val="4EE87B84"/>
    <w:rsid w:val="4EFF65C5"/>
    <w:rsid w:val="4F0052D1"/>
    <w:rsid w:val="4F014784"/>
    <w:rsid w:val="4F0431E6"/>
    <w:rsid w:val="4F1B712F"/>
    <w:rsid w:val="4F1C605F"/>
    <w:rsid w:val="4F254824"/>
    <w:rsid w:val="4F2658BE"/>
    <w:rsid w:val="4F4736A7"/>
    <w:rsid w:val="4F7914EF"/>
    <w:rsid w:val="4F9174FD"/>
    <w:rsid w:val="4F9402D2"/>
    <w:rsid w:val="4F9A6D4E"/>
    <w:rsid w:val="4FB10142"/>
    <w:rsid w:val="4FB82BD0"/>
    <w:rsid w:val="4FC643B6"/>
    <w:rsid w:val="4FD1578E"/>
    <w:rsid w:val="4FE10E76"/>
    <w:rsid w:val="4FEE2189"/>
    <w:rsid w:val="4FF71C3D"/>
    <w:rsid w:val="50016856"/>
    <w:rsid w:val="5003783F"/>
    <w:rsid w:val="5008518B"/>
    <w:rsid w:val="500B32A2"/>
    <w:rsid w:val="502B6647"/>
    <w:rsid w:val="502B6EFE"/>
    <w:rsid w:val="50324E90"/>
    <w:rsid w:val="504C1B11"/>
    <w:rsid w:val="505F48A5"/>
    <w:rsid w:val="506472D4"/>
    <w:rsid w:val="50666C7A"/>
    <w:rsid w:val="507460A4"/>
    <w:rsid w:val="507B6DFE"/>
    <w:rsid w:val="5094445D"/>
    <w:rsid w:val="509C0D4E"/>
    <w:rsid w:val="50A23A1E"/>
    <w:rsid w:val="50AC44E3"/>
    <w:rsid w:val="50B57EA9"/>
    <w:rsid w:val="50BC2B26"/>
    <w:rsid w:val="50BE1984"/>
    <w:rsid w:val="50D141C6"/>
    <w:rsid w:val="50D94FDD"/>
    <w:rsid w:val="50F115EA"/>
    <w:rsid w:val="50F72C9C"/>
    <w:rsid w:val="50FC0DB6"/>
    <w:rsid w:val="511107EA"/>
    <w:rsid w:val="511F2007"/>
    <w:rsid w:val="51271E2F"/>
    <w:rsid w:val="51342CAA"/>
    <w:rsid w:val="51366F32"/>
    <w:rsid w:val="51406A38"/>
    <w:rsid w:val="514B4E4E"/>
    <w:rsid w:val="516578E1"/>
    <w:rsid w:val="517174DB"/>
    <w:rsid w:val="518049FF"/>
    <w:rsid w:val="51932FAD"/>
    <w:rsid w:val="51A06E66"/>
    <w:rsid w:val="51AF590D"/>
    <w:rsid w:val="51B475E9"/>
    <w:rsid w:val="51C05FF6"/>
    <w:rsid w:val="51D135DE"/>
    <w:rsid w:val="51DF4444"/>
    <w:rsid w:val="51F65295"/>
    <w:rsid w:val="51F872B4"/>
    <w:rsid w:val="51FD3DB6"/>
    <w:rsid w:val="52097713"/>
    <w:rsid w:val="520C3BB6"/>
    <w:rsid w:val="52252174"/>
    <w:rsid w:val="52295AE6"/>
    <w:rsid w:val="522D0E7F"/>
    <w:rsid w:val="523E4D62"/>
    <w:rsid w:val="5243507E"/>
    <w:rsid w:val="525402A0"/>
    <w:rsid w:val="52554706"/>
    <w:rsid w:val="525F5585"/>
    <w:rsid w:val="528D41E4"/>
    <w:rsid w:val="529B480F"/>
    <w:rsid w:val="52BF5C92"/>
    <w:rsid w:val="52C2167A"/>
    <w:rsid w:val="52C7794C"/>
    <w:rsid w:val="52D279CD"/>
    <w:rsid w:val="52D32ADF"/>
    <w:rsid w:val="52E45ACB"/>
    <w:rsid w:val="52E71802"/>
    <w:rsid w:val="52F47AFB"/>
    <w:rsid w:val="53071B37"/>
    <w:rsid w:val="530A5973"/>
    <w:rsid w:val="531169F3"/>
    <w:rsid w:val="531348FB"/>
    <w:rsid w:val="53275D3D"/>
    <w:rsid w:val="533354CF"/>
    <w:rsid w:val="533407C0"/>
    <w:rsid w:val="53346B96"/>
    <w:rsid w:val="535D5DC8"/>
    <w:rsid w:val="537A3167"/>
    <w:rsid w:val="537D2360"/>
    <w:rsid w:val="53811E50"/>
    <w:rsid w:val="53B22465"/>
    <w:rsid w:val="53B72F65"/>
    <w:rsid w:val="53BE3989"/>
    <w:rsid w:val="53D83751"/>
    <w:rsid w:val="53D85151"/>
    <w:rsid w:val="53E844A9"/>
    <w:rsid w:val="53FD2AC2"/>
    <w:rsid w:val="5409404E"/>
    <w:rsid w:val="54134B75"/>
    <w:rsid w:val="54164746"/>
    <w:rsid w:val="541F238F"/>
    <w:rsid w:val="542E2ADC"/>
    <w:rsid w:val="543341B9"/>
    <w:rsid w:val="543415ED"/>
    <w:rsid w:val="5438608E"/>
    <w:rsid w:val="544B7F7E"/>
    <w:rsid w:val="54501D22"/>
    <w:rsid w:val="546146EB"/>
    <w:rsid w:val="54680D66"/>
    <w:rsid w:val="54685AA1"/>
    <w:rsid w:val="547D06FB"/>
    <w:rsid w:val="547D14B1"/>
    <w:rsid w:val="54857DDB"/>
    <w:rsid w:val="548C678B"/>
    <w:rsid w:val="54905199"/>
    <w:rsid w:val="54914216"/>
    <w:rsid w:val="549273A9"/>
    <w:rsid w:val="549405C7"/>
    <w:rsid w:val="549D6C55"/>
    <w:rsid w:val="54CA07F6"/>
    <w:rsid w:val="54E87AB4"/>
    <w:rsid w:val="54E979F3"/>
    <w:rsid w:val="54EF0774"/>
    <w:rsid w:val="54F2448F"/>
    <w:rsid w:val="54FE2E33"/>
    <w:rsid w:val="550B2DC8"/>
    <w:rsid w:val="5540169E"/>
    <w:rsid w:val="55466588"/>
    <w:rsid w:val="5547793A"/>
    <w:rsid w:val="554C32B2"/>
    <w:rsid w:val="55501E76"/>
    <w:rsid w:val="55701D69"/>
    <w:rsid w:val="55731E3E"/>
    <w:rsid w:val="557A0272"/>
    <w:rsid w:val="557E29D7"/>
    <w:rsid w:val="558F2195"/>
    <w:rsid w:val="55900035"/>
    <w:rsid w:val="55AF798B"/>
    <w:rsid w:val="55CA70E8"/>
    <w:rsid w:val="55ED4967"/>
    <w:rsid w:val="55F350C4"/>
    <w:rsid w:val="561019A5"/>
    <w:rsid w:val="561B14C6"/>
    <w:rsid w:val="561B7A15"/>
    <w:rsid w:val="56247722"/>
    <w:rsid w:val="56342FDD"/>
    <w:rsid w:val="56467B64"/>
    <w:rsid w:val="565626F9"/>
    <w:rsid w:val="565671A2"/>
    <w:rsid w:val="56685CA8"/>
    <w:rsid w:val="56740DC7"/>
    <w:rsid w:val="56753961"/>
    <w:rsid w:val="5677558B"/>
    <w:rsid w:val="569C2904"/>
    <w:rsid w:val="56AA3219"/>
    <w:rsid w:val="56CF2574"/>
    <w:rsid w:val="56CF424D"/>
    <w:rsid w:val="56DE4C00"/>
    <w:rsid w:val="5707525A"/>
    <w:rsid w:val="570847EE"/>
    <w:rsid w:val="573270B5"/>
    <w:rsid w:val="57331689"/>
    <w:rsid w:val="57443B56"/>
    <w:rsid w:val="57614844"/>
    <w:rsid w:val="57664CC0"/>
    <w:rsid w:val="576A00D2"/>
    <w:rsid w:val="576A530D"/>
    <w:rsid w:val="57971A40"/>
    <w:rsid w:val="579E4D2D"/>
    <w:rsid w:val="57A24175"/>
    <w:rsid w:val="57B75717"/>
    <w:rsid w:val="57C470D2"/>
    <w:rsid w:val="57C77E19"/>
    <w:rsid w:val="57CA488B"/>
    <w:rsid w:val="57DB3900"/>
    <w:rsid w:val="57DB47FB"/>
    <w:rsid w:val="580846BB"/>
    <w:rsid w:val="5816050F"/>
    <w:rsid w:val="581D5CC6"/>
    <w:rsid w:val="58205F1A"/>
    <w:rsid w:val="582468CD"/>
    <w:rsid w:val="582840C5"/>
    <w:rsid w:val="583074F9"/>
    <w:rsid w:val="583515AC"/>
    <w:rsid w:val="584B45E2"/>
    <w:rsid w:val="584C2587"/>
    <w:rsid w:val="585127AA"/>
    <w:rsid w:val="585D5314"/>
    <w:rsid w:val="58603D47"/>
    <w:rsid w:val="58743A0C"/>
    <w:rsid w:val="58BB3CCE"/>
    <w:rsid w:val="58CD3249"/>
    <w:rsid w:val="58DE0E81"/>
    <w:rsid w:val="59125866"/>
    <w:rsid w:val="5915352F"/>
    <w:rsid w:val="591B0458"/>
    <w:rsid w:val="59232E69"/>
    <w:rsid w:val="59304651"/>
    <w:rsid w:val="593E2965"/>
    <w:rsid w:val="594856C1"/>
    <w:rsid w:val="59486EBB"/>
    <w:rsid w:val="59493AFE"/>
    <w:rsid w:val="594C38F9"/>
    <w:rsid w:val="594C4A1E"/>
    <w:rsid w:val="59567838"/>
    <w:rsid w:val="59700D18"/>
    <w:rsid w:val="5970491E"/>
    <w:rsid w:val="597304CA"/>
    <w:rsid w:val="59794C92"/>
    <w:rsid w:val="597A0373"/>
    <w:rsid w:val="598803B1"/>
    <w:rsid w:val="59A5117A"/>
    <w:rsid w:val="59A937D5"/>
    <w:rsid w:val="59BA6CB3"/>
    <w:rsid w:val="59BA6CC4"/>
    <w:rsid w:val="59DB746A"/>
    <w:rsid w:val="59F2154E"/>
    <w:rsid w:val="59F9691A"/>
    <w:rsid w:val="5A012975"/>
    <w:rsid w:val="5A0233C6"/>
    <w:rsid w:val="5A097A39"/>
    <w:rsid w:val="5A112448"/>
    <w:rsid w:val="5A1E417A"/>
    <w:rsid w:val="5A266C4C"/>
    <w:rsid w:val="5A2D3B53"/>
    <w:rsid w:val="5A3B2434"/>
    <w:rsid w:val="5A6457FD"/>
    <w:rsid w:val="5A645A7F"/>
    <w:rsid w:val="5A653116"/>
    <w:rsid w:val="5A7035CD"/>
    <w:rsid w:val="5A873ECB"/>
    <w:rsid w:val="5A934A0F"/>
    <w:rsid w:val="5A957C98"/>
    <w:rsid w:val="5A9E6D6F"/>
    <w:rsid w:val="5AAC50E0"/>
    <w:rsid w:val="5AAD60EA"/>
    <w:rsid w:val="5AB61DE0"/>
    <w:rsid w:val="5ACB527F"/>
    <w:rsid w:val="5AD7761B"/>
    <w:rsid w:val="5B072DB6"/>
    <w:rsid w:val="5B19492B"/>
    <w:rsid w:val="5B233465"/>
    <w:rsid w:val="5B506B61"/>
    <w:rsid w:val="5B5F0F2E"/>
    <w:rsid w:val="5B667984"/>
    <w:rsid w:val="5B6B796C"/>
    <w:rsid w:val="5B7C0F56"/>
    <w:rsid w:val="5B9808C1"/>
    <w:rsid w:val="5BB10CB2"/>
    <w:rsid w:val="5BC16A09"/>
    <w:rsid w:val="5BC86A61"/>
    <w:rsid w:val="5C012CC6"/>
    <w:rsid w:val="5C3B496D"/>
    <w:rsid w:val="5C503DE0"/>
    <w:rsid w:val="5C5435D1"/>
    <w:rsid w:val="5C5C5BA5"/>
    <w:rsid w:val="5C8005D2"/>
    <w:rsid w:val="5C8C4702"/>
    <w:rsid w:val="5C936557"/>
    <w:rsid w:val="5C943DBC"/>
    <w:rsid w:val="5C997625"/>
    <w:rsid w:val="5CA57080"/>
    <w:rsid w:val="5CA77E21"/>
    <w:rsid w:val="5CAF0BE0"/>
    <w:rsid w:val="5CB458BA"/>
    <w:rsid w:val="5CD86660"/>
    <w:rsid w:val="5CDC782C"/>
    <w:rsid w:val="5CE23DAC"/>
    <w:rsid w:val="5CE73917"/>
    <w:rsid w:val="5D0A73AF"/>
    <w:rsid w:val="5D120F26"/>
    <w:rsid w:val="5D1F603D"/>
    <w:rsid w:val="5D376039"/>
    <w:rsid w:val="5D3E31E9"/>
    <w:rsid w:val="5D436E42"/>
    <w:rsid w:val="5D63667B"/>
    <w:rsid w:val="5D696565"/>
    <w:rsid w:val="5D6F2EDA"/>
    <w:rsid w:val="5D783847"/>
    <w:rsid w:val="5D83037A"/>
    <w:rsid w:val="5D885121"/>
    <w:rsid w:val="5D9941C1"/>
    <w:rsid w:val="5DA92832"/>
    <w:rsid w:val="5DAE502B"/>
    <w:rsid w:val="5DB466F3"/>
    <w:rsid w:val="5DB915F2"/>
    <w:rsid w:val="5DBC60F3"/>
    <w:rsid w:val="5DCB1D21"/>
    <w:rsid w:val="5DCD5A99"/>
    <w:rsid w:val="5DDA5440"/>
    <w:rsid w:val="5DDD5947"/>
    <w:rsid w:val="5DDF393D"/>
    <w:rsid w:val="5DDF6E4E"/>
    <w:rsid w:val="5DFA49E0"/>
    <w:rsid w:val="5E1D0F80"/>
    <w:rsid w:val="5E1F3B6D"/>
    <w:rsid w:val="5E224037"/>
    <w:rsid w:val="5E352C38"/>
    <w:rsid w:val="5E3E40FF"/>
    <w:rsid w:val="5E40706E"/>
    <w:rsid w:val="5E4C1080"/>
    <w:rsid w:val="5E4E1C8A"/>
    <w:rsid w:val="5E5D7A78"/>
    <w:rsid w:val="5E7833A1"/>
    <w:rsid w:val="5E8274BA"/>
    <w:rsid w:val="5EA06D09"/>
    <w:rsid w:val="5EA53C9A"/>
    <w:rsid w:val="5EB822A5"/>
    <w:rsid w:val="5EBC7F37"/>
    <w:rsid w:val="5ECE7D1A"/>
    <w:rsid w:val="5ED36C86"/>
    <w:rsid w:val="5EDA60B0"/>
    <w:rsid w:val="5EE35A57"/>
    <w:rsid w:val="5F1645A7"/>
    <w:rsid w:val="5F5226F9"/>
    <w:rsid w:val="5F6A54DD"/>
    <w:rsid w:val="5F815969"/>
    <w:rsid w:val="5F8B4FA7"/>
    <w:rsid w:val="5F9B72D1"/>
    <w:rsid w:val="5FAB0A44"/>
    <w:rsid w:val="5FB17C29"/>
    <w:rsid w:val="5FB34738"/>
    <w:rsid w:val="5FB95E1C"/>
    <w:rsid w:val="5FC85F82"/>
    <w:rsid w:val="5FCB3FE5"/>
    <w:rsid w:val="5FDC5EDE"/>
    <w:rsid w:val="5FEB2206"/>
    <w:rsid w:val="5FED772C"/>
    <w:rsid w:val="5FF97EAE"/>
    <w:rsid w:val="60155C27"/>
    <w:rsid w:val="60162D11"/>
    <w:rsid w:val="601A6070"/>
    <w:rsid w:val="60226F8B"/>
    <w:rsid w:val="603B4F3C"/>
    <w:rsid w:val="60477ABF"/>
    <w:rsid w:val="604B06AE"/>
    <w:rsid w:val="60526566"/>
    <w:rsid w:val="607F756F"/>
    <w:rsid w:val="60917251"/>
    <w:rsid w:val="60982996"/>
    <w:rsid w:val="60C53D01"/>
    <w:rsid w:val="60C9018D"/>
    <w:rsid w:val="61012C93"/>
    <w:rsid w:val="61053FC5"/>
    <w:rsid w:val="610C088E"/>
    <w:rsid w:val="614A03E6"/>
    <w:rsid w:val="61531A50"/>
    <w:rsid w:val="61532201"/>
    <w:rsid w:val="61651210"/>
    <w:rsid w:val="61666018"/>
    <w:rsid w:val="616B46BB"/>
    <w:rsid w:val="616E5EB6"/>
    <w:rsid w:val="617526CF"/>
    <w:rsid w:val="618560EB"/>
    <w:rsid w:val="618E3791"/>
    <w:rsid w:val="619B5D77"/>
    <w:rsid w:val="61B10243"/>
    <w:rsid w:val="61BB2DD9"/>
    <w:rsid w:val="61C00B2F"/>
    <w:rsid w:val="61C3411F"/>
    <w:rsid w:val="61DD1B9A"/>
    <w:rsid w:val="61E136F6"/>
    <w:rsid w:val="61F4426B"/>
    <w:rsid w:val="61F83805"/>
    <w:rsid w:val="62022776"/>
    <w:rsid w:val="6205764C"/>
    <w:rsid w:val="62256C85"/>
    <w:rsid w:val="623600B0"/>
    <w:rsid w:val="62562501"/>
    <w:rsid w:val="6256299E"/>
    <w:rsid w:val="62574D95"/>
    <w:rsid w:val="62586747"/>
    <w:rsid w:val="626C60B7"/>
    <w:rsid w:val="62746498"/>
    <w:rsid w:val="62922E0D"/>
    <w:rsid w:val="62982A5C"/>
    <w:rsid w:val="62C924F0"/>
    <w:rsid w:val="62CB6D60"/>
    <w:rsid w:val="62E358B2"/>
    <w:rsid w:val="62EA49F7"/>
    <w:rsid w:val="62F154C5"/>
    <w:rsid w:val="62FD0A5D"/>
    <w:rsid w:val="63162338"/>
    <w:rsid w:val="632036E4"/>
    <w:rsid w:val="63232EB3"/>
    <w:rsid w:val="63267478"/>
    <w:rsid w:val="633D315E"/>
    <w:rsid w:val="63504ABF"/>
    <w:rsid w:val="63517786"/>
    <w:rsid w:val="637052D7"/>
    <w:rsid w:val="6388739F"/>
    <w:rsid w:val="6389099E"/>
    <w:rsid w:val="63954DAA"/>
    <w:rsid w:val="63C74AA3"/>
    <w:rsid w:val="63D87748"/>
    <w:rsid w:val="63DE2EEF"/>
    <w:rsid w:val="63E8362C"/>
    <w:rsid w:val="63E91153"/>
    <w:rsid w:val="63F16145"/>
    <w:rsid w:val="64024CFF"/>
    <w:rsid w:val="641D22DD"/>
    <w:rsid w:val="64426DE8"/>
    <w:rsid w:val="645B3151"/>
    <w:rsid w:val="646A170C"/>
    <w:rsid w:val="646C600B"/>
    <w:rsid w:val="64701038"/>
    <w:rsid w:val="64722EF6"/>
    <w:rsid w:val="64797A3F"/>
    <w:rsid w:val="647B4B09"/>
    <w:rsid w:val="647B6F79"/>
    <w:rsid w:val="64815AEE"/>
    <w:rsid w:val="648937A8"/>
    <w:rsid w:val="648B1BA9"/>
    <w:rsid w:val="648D0F64"/>
    <w:rsid w:val="649449E8"/>
    <w:rsid w:val="649D5D6D"/>
    <w:rsid w:val="64A9391A"/>
    <w:rsid w:val="64AF7CA6"/>
    <w:rsid w:val="64D77B16"/>
    <w:rsid w:val="64F953C5"/>
    <w:rsid w:val="651B533C"/>
    <w:rsid w:val="651E27DC"/>
    <w:rsid w:val="65206DF6"/>
    <w:rsid w:val="65291D8F"/>
    <w:rsid w:val="65570D94"/>
    <w:rsid w:val="655774EE"/>
    <w:rsid w:val="65795592"/>
    <w:rsid w:val="65A10F4D"/>
    <w:rsid w:val="65A93335"/>
    <w:rsid w:val="65BC5BDE"/>
    <w:rsid w:val="65D3678B"/>
    <w:rsid w:val="65DB69B9"/>
    <w:rsid w:val="65E142CF"/>
    <w:rsid w:val="65F16DEF"/>
    <w:rsid w:val="65FF5B93"/>
    <w:rsid w:val="660540EE"/>
    <w:rsid w:val="66081715"/>
    <w:rsid w:val="661673E0"/>
    <w:rsid w:val="661A1A97"/>
    <w:rsid w:val="661A3845"/>
    <w:rsid w:val="661B00EA"/>
    <w:rsid w:val="661D360B"/>
    <w:rsid w:val="66523C3F"/>
    <w:rsid w:val="66541F53"/>
    <w:rsid w:val="665C126F"/>
    <w:rsid w:val="6660647F"/>
    <w:rsid w:val="66613222"/>
    <w:rsid w:val="66820F47"/>
    <w:rsid w:val="668A782A"/>
    <w:rsid w:val="668C4743"/>
    <w:rsid w:val="66AF1795"/>
    <w:rsid w:val="66B07CC1"/>
    <w:rsid w:val="66B14B24"/>
    <w:rsid w:val="66B27D18"/>
    <w:rsid w:val="66D1442C"/>
    <w:rsid w:val="66D47E7F"/>
    <w:rsid w:val="66D64E5B"/>
    <w:rsid w:val="66DD089D"/>
    <w:rsid w:val="66F0016C"/>
    <w:rsid w:val="66FA0812"/>
    <w:rsid w:val="66FB2BD0"/>
    <w:rsid w:val="66FC2971"/>
    <w:rsid w:val="670008EB"/>
    <w:rsid w:val="67103ED9"/>
    <w:rsid w:val="67262B05"/>
    <w:rsid w:val="672C7CD4"/>
    <w:rsid w:val="674E513F"/>
    <w:rsid w:val="674E6BDA"/>
    <w:rsid w:val="67610E75"/>
    <w:rsid w:val="676F0F89"/>
    <w:rsid w:val="677178CC"/>
    <w:rsid w:val="677977BA"/>
    <w:rsid w:val="67797A29"/>
    <w:rsid w:val="679D31F9"/>
    <w:rsid w:val="679D3BF4"/>
    <w:rsid w:val="679D472E"/>
    <w:rsid w:val="67A41618"/>
    <w:rsid w:val="67AE4749"/>
    <w:rsid w:val="67C56A11"/>
    <w:rsid w:val="67D839B8"/>
    <w:rsid w:val="67DC3A63"/>
    <w:rsid w:val="67E071EA"/>
    <w:rsid w:val="67FC4971"/>
    <w:rsid w:val="68221BAF"/>
    <w:rsid w:val="682D62D9"/>
    <w:rsid w:val="6833299C"/>
    <w:rsid w:val="685143BC"/>
    <w:rsid w:val="68542A0A"/>
    <w:rsid w:val="68555296"/>
    <w:rsid w:val="686C1E80"/>
    <w:rsid w:val="689079C3"/>
    <w:rsid w:val="689A2A1B"/>
    <w:rsid w:val="68D46A71"/>
    <w:rsid w:val="68D56910"/>
    <w:rsid w:val="68EF70C5"/>
    <w:rsid w:val="68F22D9F"/>
    <w:rsid w:val="69162C86"/>
    <w:rsid w:val="69180AD7"/>
    <w:rsid w:val="69214083"/>
    <w:rsid w:val="69456B9A"/>
    <w:rsid w:val="69481344"/>
    <w:rsid w:val="695700E3"/>
    <w:rsid w:val="6980516E"/>
    <w:rsid w:val="69823EE6"/>
    <w:rsid w:val="698B51FD"/>
    <w:rsid w:val="69960468"/>
    <w:rsid w:val="69A109AD"/>
    <w:rsid w:val="69B875FD"/>
    <w:rsid w:val="69D5796F"/>
    <w:rsid w:val="69E00AE8"/>
    <w:rsid w:val="69E2467A"/>
    <w:rsid w:val="69F101EA"/>
    <w:rsid w:val="69F448E4"/>
    <w:rsid w:val="6A0606AA"/>
    <w:rsid w:val="6A090874"/>
    <w:rsid w:val="6A0F6D29"/>
    <w:rsid w:val="6A1231B1"/>
    <w:rsid w:val="6A1B780C"/>
    <w:rsid w:val="6A206086"/>
    <w:rsid w:val="6A3F0B90"/>
    <w:rsid w:val="6A3F71AB"/>
    <w:rsid w:val="6A407F9F"/>
    <w:rsid w:val="6A4620BF"/>
    <w:rsid w:val="6A4D5F32"/>
    <w:rsid w:val="6A5D65D9"/>
    <w:rsid w:val="6A6908F7"/>
    <w:rsid w:val="6A722F0B"/>
    <w:rsid w:val="6A7A4D5B"/>
    <w:rsid w:val="6A7E7518"/>
    <w:rsid w:val="6A825953"/>
    <w:rsid w:val="6A881C38"/>
    <w:rsid w:val="6A8A11E6"/>
    <w:rsid w:val="6A8B2F63"/>
    <w:rsid w:val="6A9C6F1F"/>
    <w:rsid w:val="6AC034F3"/>
    <w:rsid w:val="6AC96987"/>
    <w:rsid w:val="6AD24017"/>
    <w:rsid w:val="6AD42C61"/>
    <w:rsid w:val="6AE14092"/>
    <w:rsid w:val="6AEA323D"/>
    <w:rsid w:val="6AF07997"/>
    <w:rsid w:val="6AF5032D"/>
    <w:rsid w:val="6AFB2812"/>
    <w:rsid w:val="6AFF182D"/>
    <w:rsid w:val="6B032C8C"/>
    <w:rsid w:val="6B243303"/>
    <w:rsid w:val="6B3158B9"/>
    <w:rsid w:val="6B3569BE"/>
    <w:rsid w:val="6B3A1CE8"/>
    <w:rsid w:val="6B3E4E41"/>
    <w:rsid w:val="6B4D49EF"/>
    <w:rsid w:val="6B556078"/>
    <w:rsid w:val="6B565CD0"/>
    <w:rsid w:val="6B68013D"/>
    <w:rsid w:val="6B7022D0"/>
    <w:rsid w:val="6B7B5422"/>
    <w:rsid w:val="6B852192"/>
    <w:rsid w:val="6B925A32"/>
    <w:rsid w:val="6B9C4F5E"/>
    <w:rsid w:val="6BA92B5A"/>
    <w:rsid w:val="6BB42760"/>
    <w:rsid w:val="6BD37065"/>
    <w:rsid w:val="6BE13B5E"/>
    <w:rsid w:val="6BE31674"/>
    <w:rsid w:val="6BE95EA9"/>
    <w:rsid w:val="6BEA6094"/>
    <w:rsid w:val="6C114575"/>
    <w:rsid w:val="6C3E2214"/>
    <w:rsid w:val="6C427652"/>
    <w:rsid w:val="6C4D48CD"/>
    <w:rsid w:val="6C8202CD"/>
    <w:rsid w:val="6C8639E2"/>
    <w:rsid w:val="6C961621"/>
    <w:rsid w:val="6C9D5038"/>
    <w:rsid w:val="6CBB7DE1"/>
    <w:rsid w:val="6CC445CB"/>
    <w:rsid w:val="6CD042ED"/>
    <w:rsid w:val="6CDA2357"/>
    <w:rsid w:val="6CE8212C"/>
    <w:rsid w:val="6CF01775"/>
    <w:rsid w:val="6CF272CA"/>
    <w:rsid w:val="6CFB62C0"/>
    <w:rsid w:val="6CFD7CAA"/>
    <w:rsid w:val="6D026DE8"/>
    <w:rsid w:val="6D0316B2"/>
    <w:rsid w:val="6D087337"/>
    <w:rsid w:val="6D0E1321"/>
    <w:rsid w:val="6D104BE0"/>
    <w:rsid w:val="6D132371"/>
    <w:rsid w:val="6D1338DD"/>
    <w:rsid w:val="6D153789"/>
    <w:rsid w:val="6D3B4D97"/>
    <w:rsid w:val="6D487B73"/>
    <w:rsid w:val="6D4A2408"/>
    <w:rsid w:val="6D4B1E5A"/>
    <w:rsid w:val="6D5E70E9"/>
    <w:rsid w:val="6D6729D8"/>
    <w:rsid w:val="6D6E09F2"/>
    <w:rsid w:val="6D852386"/>
    <w:rsid w:val="6DBD67AE"/>
    <w:rsid w:val="6DCF3167"/>
    <w:rsid w:val="6DD54C21"/>
    <w:rsid w:val="6DF453C2"/>
    <w:rsid w:val="6DFC1EB9"/>
    <w:rsid w:val="6E25722B"/>
    <w:rsid w:val="6E3363CE"/>
    <w:rsid w:val="6E3C316F"/>
    <w:rsid w:val="6E453429"/>
    <w:rsid w:val="6E456275"/>
    <w:rsid w:val="6E4E36BD"/>
    <w:rsid w:val="6E6127F4"/>
    <w:rsid w:val="6E631ECC"/>
    <w:rsid w:val="6E860D5E"/>
    <w:rsid w:val="6E880670"/>
    <w:rsid w:val="6E9028F6"/>
    <w:rsid w:val="6EB7522E"/>
    <w:rsid w:val="6EC002E5"/>
    <w:rsid w:val="6EC64ECD"/>
    <w:rsid w:val="6EC71F62"/>
    <w:rsid w:val="6ECD2CED"/>
    <w:rsid w:val="6EE1422E"/>
    <w:rsid w:val="6EE449F0"/>
    <w:rsid w:val="6EF14DB2"/>
    <w:rsid w:val="6EFA06B8"/>
    <w:rsid w:val="6F046E40"/>
    <w:rsid w:val="6F1743AC"/>
    <w:rsid w:val="6F255735"/>
    <w:rsid w:val="6F3E2352"/>
    <w:rsid w:val="6F4656AB"/>
    <w:rsid w:val="6F5C1867"/>
    <w:rsid w:val="6F5C3F48"/>
    <w:rsid w:val="6F61462B"/>
    <w:rsid w:val="6F6D6714"/>
    <w:rsid w:val="6F8561D3"/>
    <w:rsid w:val="6F926B42"/>
    <w:rsid w:val="6F9C2017"/>
    <w:rsid w:val="6FB37BE5"/>
    <w:rsid w:val="6FC2450B"/>
    <w:rsid w:val="6FC7059A"/>
    <w:rsid w:val="6FCA64CD"/>
    <w:rsid w:val="6FE112C4"/>
    <w:rsid w:val="6FF069FB"/>
    <w:rsid w:val="6FF36A80"/>
    <w:rsid w:val="6FFB0619"/>
    <w:rsid w:val="6FFD7D02"/>
    <w:rsid w:val="70020E6A"/>
    <w:rsid w:val="701A60AC"/>
    <w:rsid w:val="702149D3"/>
    <w:rsid w:val="7021684B"/>
    <w:rsid w:val="70217D0F"/>
    <w:rsid w:val="7045295A"/>
    <w:rsid w:val="7047527A"/>
    <w:rsid w:val="704E0CBB"/>
    <w:rsid w:val="7056241A"/>
    <w:rsid w:val="707B2CB1"/>
    <w:rsid w:val="70924B19"/>
    <w:rsid w:val="70952588"/>
    <w:rsid w:val="70A34833"/>
    <w:rsid w:val="70B75478"/>
    <w:rsid w:val="70BA7DE6"/>
    <w:rsid w:val="70BF74C3"/>
    <w:rsid w:val="70D56048"/>
    <w:rsid w:val="70DA3248"/>
    <w:rsid w:val="71027F8C"/>
    <w:rsid w:val="712A4901"/>
    <w:rsid w:val="71391F94"/>
    <w:rsid w:val="7148395C"/>
    <w:rsid w:val="715D7335"/>
    <w:rsid w:val="717159EA"/>
    <w:rsid w:val="71777F8A"/>
    <w:rsid w:val="719340CC"/>
    <w:rsid w:val="71946BA2"/>
    <w:rsid w:val="71A412EF"/>
    <w:rsid w:val="71B106B0"/>
    <w:rsid w:val="71B61A42"/>
    <w:rsid w:val="71BB267E"/>
    <w:rsid w:val="71BE59CD"/>
    <w:rsid w:val="71C32243"/>
    <w:rsid w:val="71D94178"/>
    <w:rsid w:val="71E258E0"/>
    <w:rsid w:val="71E450CA"/>
    <w:rsid w:val="71EA7F5E"/>
    <w:rsid w:val="71EE0EE5"/>
    <w:rsid w:val="71F773F9"/>
    <w:rsid w:val="71FB452B"/>
    <w:rsid w:val="72025ED5"/>
    <w:rsid w:val="720A7322"/>
    <w:rsid w:val="72137E38"/>
    <w:rsid w:val="721E571E"/>
    <w:rsid w:val="721F7D69"/>
    <w:rsid w:val="7225336C"/>
    <w:rsid w:val="722E3E35"/>
    <w:rsid w:val="724A7260"/>
    <w:rsid w:val="724B68D9"/>
    <w:rsid w:val="72541E8D"/>
    <w:rsid w:val="725E62FA"/>
    <w:rsid w:val="72860473"/>
    <w:rsid w:val="7299364D"/>
    <w:rsid w:val="72C16C93"/>
    <w:rsid w:val="72D66A82"/>
    <w:rsid w:val="72D67597"/>
    <w:rsid w:val="72E43D31"/>
    <w:rsid w:val="72FF6E9B"/>
    <w:rsid w:val="73027148"/>
    <w:rsid w:val="7305147C"/>
    <w:rsid w:val="731A30F8"/>
    <w:rsid w:val="733A7EE8"/>
    <w:rsid w:val="734D11ED"/>
    <w:rsid w:val="735A55D3"/>
    <w:rsid w:val="73621B80"/>
    <w:rsid w:val="7375174D"/>
    <w:rsid w:val="73795D83"/>
    <w:rsid w:val="737B6EF7"/>
    <w:rsid w:val="73850D73"/>
    <w:rsid w:val="738B56FD"/>
    <w:rsid w:val="738B5D82"/>
    <w:rsid w:val="73942E89"/>
    <w:rsid w:val="73993FFB"/>
    <w:rsid w:val="739F2E93"/>
    <w:rsid w:val="73A60FE9"/>
    <w:rsid w:val="73B8143C"/>
    <w:rsid w:val="73C06788"/>
    <w:rsid w:val="73D813D5"/>
    <w:rsid w:val="73DB1F8F"/>
    <w:rsid w:val="73DE1B70"/>
    <w:rsid w:val="73E6120B"/>
    <w:rsid w:val="741378E4"/>
    <w:rsid w:val="74213FF1"/>
    <w:rsid w:val="743138C9"/>
    <w:rsid w:val="74497E8D"/>
    <w:rsid w:val="744F70D5"/>
    <w:rsid w:val="74542618"/>
    <w:rsid w:val="746B1062"/>
    <w:rsid w:val="74836A59"/>
    <w:rsid w:val="74890514"/>
    <w:rsid w:val="749359B2"/>
    <w:rsid w:val="74957A1D"/>
    <w:rsid w:val="74976F8C"/>
    <w:rsid w:val="749C28D6"/>
    <w:rsid w:val="74AC2DBE"/>
    <w:rsid w:val="74B03CF2"/>
    <w:rsid w:val="74B4279D"/>
    <w:rsid w:val="74C959EF"/>
    <w:rsid w:val="74D13C69"/>
    <w:rsid w:val="74D226D8"/>
    <w:rsid w:val="74D951DD"/>
    <w:rsid w:val="74E36253"/>
    <w:rsid w:val="74F273DA"/>
    <w:rsid w:val="74F600B5"/>
    <w:rsid w:val="750C6A4F"/>
    <w:rsid w:val="75102AF5"/>
    <w:rsid w:val="751C1B98"/>
    <w:rsid w:val="752E2E69"/>
    <w:rsid w:val="753F1C14"/>
    <w:rsid w:val="75404D65"/>
    <w:rsid w:val="75410DEE"/>
    <w:rsid w:val="754B45FC"/>
    <w:rsid w:val="754C4FE3"/>
    <w:rsid w:val="75780005"/>
    <w:rsid w:val="75846F2D"/>
    <w:rsid w:val="758E56B6"/>
    <w:rsid w:val="759D26FD"/>
    <w:rsid w:val="75BA7DC9"/>
    <w:rsid w:val="75C158E1"/>
    <w:rsid w:val="75D75BBF"/>
    <w:rsid w:val="75F25C45"/>
    <w:rsid w:val="75F8173D"/>
    <w:rsid w:val="75FE15A4"/>
    <w:rsid w:val="76087EFE"/>
    <w:rsid w:val="762F3987"/>
    <w:rsid w:val="763146BA"/>
    <w:rsid w:val="76373F9F"/>
    <w:rsid w:val="763C17CD"/>
    <w:rsid w:val="7651209F"/>
    <w:rsid w:val="765A396A"/>
    <w:rsid w:val="765B5EE0"/>
    <w:rsid w:val="76625186"/>
    <w:rsid w:val="76694515"/>
    <w:rsid w:val="7671183A"/>
    <w:rsid w:val="76795A9A"/>
    <w:rsid w:val="76850BE3"/>
    <w:rsid w:val="768E7AAD"/>
    <w:rsid w:val="769D37DC"/>
    <w:rsid w:val="76AD1FDF"/>
    <w:rsid w:val="76AF483A"/>
    <w:rsid w:val="76C37C6F"/>
    <w:rsid w:val="76C61386"/>
    <w:rsid w:val="76CF1D13"/>
    <w:rsid w:val="76D56664"/>
    <w:rsid w:val="76E81AE6"/>
    <w:rsid w:val="76FD0D45"/>
    <w:rsid w:val="77000835"/>
    <w:rsid w:val="770802F0"/>
    <w:rsid w:val="771025D4"/>
    <w:rsid w:val="77115FC5"/>
    <w:rsid w:val="77196438"/>
    <w:rsid w:val="77326AF1"/>
    <w:rsid w:val="77342D6F"/>
    <w:rsid w:val="77383B2B"/>
    <w:rsid w:val="773B467C"/>
    <w:rsid w:val="775B5775"/>
    <w:rsid w:val="775E0D1F"/>
    <w:rsid w:val="776655B0"/>
    <w:rsid w:val="77685B26"/>
    <w:rsid w:val="777B5097"/>
    <w:rsid w:val="777E55F4"/>
    <w:rsid w:val="777F79AC"/>
    <w:rsid w:val="77820DEB"/>
    <w:rsid w:val="7792671F"/>
    <w:rsid w:val="7797445D"/>
    <w:rsid w:val="77986D62"/>
    <w:rsid w:val="77A015C8"/>
    <w:rsid w:val="77A92E90"/>
    <w:rsid w:val="77B650A0"/>
    <w:rsid w:val="77CE0481"/>
    <w:rsid w:val="77E43CB3"/>
    <w:rsid w:val="77EC7456"/>
    <w:rsid w:val="77EE7D89"/>
    <w:rsid w:val="77EF0483"/>
    <w:rsid w:val="78131205"/>
    <w:rsid w:val="781911C5"/>
    <w:rsid w:val="781A279F"/>
    <w:rsid w:val="782500E0"/>
    <w:rsid w:val="782F5811"/>
    <w:rsid w:val="78384A59"/>
    <w:rsid w:val="783B343E"/>
    <w:rsid w:val="78491B75"/>
    <w:rsid w:val="784A2663"/>
    <w:rsid w:val="784A43B3"/>
    <w:rsid w:val="78511348"/>
    <w:rsid w:val="785250C1"/>
    <w:rsid w:val="78564BB1"/>
    <w:rsid w:val="78581051"/>
    <w:rsid w:val="786228CD"/>
    <w:rsid w:val="786F0FB8"/>
    <w:rsid w:val="78714DF4"/>
    <w:rsid w:val="78721CEF"/>
    <w:rsid w:val="787234C6"/>
    <w:rsid w:val="78756296"/>
    <w:rsid w:val="788334CC"/>
    <w:rsid w:val="78B20233"/>
    <w:rsid w:val="78B8118C"/>
    <w:rsid w:val="78D12FAA"/>
    <w:rsid w:val="78D855C6"/>
    <w:rsid w:val="78FC0536"/>
    <w:rsid w:val="78FE7954"/>
    <w:rsid w:val="79315979"/>
    <w:rsid w:val="79424F4F"/>
    <w:rsid w:val="795831E5"/>
    <w:rsid w:val="796E7E54"/>
    <w:rsid w:val="79756315"/>
    <w:rsid w:val="79765CDA"/>
    <w:rsid w:val="798B6ADC"/>
    <w:rsid w:val="79A47621"/>
    <w:rsid w:val="79AA18D2"/>
    <w:rsid w:val="79AB6836"/>
    <w:rsid w:val="79C56A19"/>
    <w:rsid w:val="79D957CA"/>
    <w:rsid w:val="79DA621C"/>
    <w:rsid w:val="79ED729C"/>
    <w:rsid w:val="79F91C98"/>
    <w:rsid w:val="7A0A78E3"/>
    <w:rsid w:val="7A2465E9"/>
    <w:rsid w:val="7A364577"/>
    <w:rsid w:val="7A54735F"/>
    <w:rsid w:val="7A574C10"/>
    <w:rsid w:val="7A5A319C"/>
    <w:rsid w:val="7A5B64AE"/>
    <w:rsid w:val="7A5C5D83"/>
    <w:rsid w:val="7A681FA7"/>
    <w:rsid w:val="7A6963D8"/>
    <w:rsid w:val="7A8D6E37"/>
    <w:rsid w:val="7AA21823"/>
    <w:rsid w:val="7AA7070E"/>
    <w:rsid w:val="7AA900DE"/>
    <w:rsid w:val="7AA936C9"/>
    <w:rsid w:val="7AB12D4C"/>
    <w:rsid w:val="7AD37F76"/>
    <w:rsid w:val="7AF32BF3"/>
    <w:rsid w:val="7AF771AA"/>
    <w:rsid w:val="7B063D79"/>
    <w:rsid w:val="7B095F0A"/>
    <w:rsid w:val="7B116B6D"/>
    <w:rsid w:val="7B190BA4"/>
    <w:rsid w:val="7B334D35"/>
    <w:rsid w:val="7B36137C"/>
    <w:rsid w:val="7B3A2568"/>
    <w:rsid w:val="7B51165F"/>
    <w:rsid w:val="7B6F5B5B"/>
    <w:rsid w:val="7B7415FA"/>
    <w:rsid w:val="7B7535A0"/>
    <w:rsid w:val="7B765886"/>
    <w:rsid w:val="7B7C4D25"/>
    <w:rsid w:val="7B893C25"/>
    <w:rsid w:val="7B8B5C40"/>
    <w:rsid w:val="7B90640C"/>
    <w:rsid w:val="7B922E29"/>
    <w:rsid w:val="7BAB0D70"/>
    <w:rsid w:val="7BBC11CF"/>
    <w:rsid w:val="7BBF79A8"/>
    <w:rsid w:val="7BC24F1F"/>
    <w:rsid w:val="7BE129E3"/>
    <w:rsid w:val="7BE23EB3"/>
    <w:rsid w:val="7BE91898"/>
    <w:rsid w:val="7BF72207"/>
    <w:rsid w:val="7C161B08"/>
    <w:rsid w:val="7C3A2FA7"/>
    <w:rsid w:val="7C541407"/>
    <w:rsid w:val="7C5840BF"/>
    <w:rsid w:val="7C6D071B"/>
    <w:rsid w:val="7C84107F"/>
    <w:rsid w:val="7C9909ED"/>
    <w:rsid w:val="7C9C2291"/>
    <w:rsid w:val="7CA46921"/>
    <w:rsid w:val="7CA56991"/>
    <w:rsid w:val="7CA71E0B"/>
    <w:rsid w:val="7CB85E09"/>
    <w:rsid w:val="7CFE3A42"/>
    <w:rsid w:val="7CFF1519"/>
    <w:rsid w:val="7D013878"/>
    <w:rsid w:val="7D0F508E"/>
    <w:rsid w:val="7D17450A"/>
    <w:rsid w:val="7D1943FF"/>
    <w:rsid w:val="7D2557AC"/>
    <w:rsid w:val="7D3F099E"/>
    <w:rsid w:val="7D4B01E2"/>
    <w:rsid w:val="7D533A52"/>
    <w:rsid w:val="7D5B43D0"/>
    <w:rsid w:val="7D6243C6"/>
    <w:rsid w:val="7D76523E"/>
    <w:rsid w:val="7D781E69"/>
    <w:rsid w:val="7D7B5075"/>
    <w:rsid w:val="7D832173"/>
    <w:rsid w:val="7D8A3C14"/>
    <w:rsid w:val="7D8C5B06"/>
    <w:rsid w:val="7D934401"/>
    <w:rsid w:val="7D953960"/>
    <w:rsid w:val="7D961406"/>
    <w:rsid w:val="7DA56991"/>
    <w:rsid w:val="7DA623C2"/>
    <w:rsid w:val="7DA737B9"/>
    <w:rsid w:val="7DB639FC"/>
    <w:rsid w:val="7DFF0E02"/>
    <w:rsid w:val="7E070C8C"/>
    <w:rsid w:val="7E0800A0"/>
    <w:rsid w:val="7E0C521E"/>
    <w:rsid w:val="7E0E7E19"/>
    <w:rsid w:val="7E1840CC"/>
    <w:rsid w:val="7E1964D0"/>
    <w:rsid w:val="7E303249"/>
    <w:rsid w:val="7E525E1A"/>
    <w:rsid w:val="7E555123"/>
    <w:rsid w:val="7E557656"/>
    <w:rsid w:val="7E7538B7"/>
    <w:rsid w:val="7E841CD2"/>
    <w:rsid w:val="7E844BCE"/>
    <w:rsid w:val="7E8D660B"/>
    <w:rsid w:val="7E9433D2"/>
    <w:rsid w:val="7E992085"/>
    <w:rsid w:val="7EB47F46"/>
    <w:rsid w:val="7EB94600"/>
    <w:rsid w:val="7ECF7C45"/>
    <w:rsid w:val="7ED82860"/>
    <w:rsid w:val="7EF45DB1"/>
    <w:rsid w:val="7EFD2358"/>
    <w:rsid w:val="7EFF5324"/>
    <w:rsid w:val="7F03165A"/>
    <w:rsid w:val="7F077A20"/>
    <w:rsid w:val="7F077BC2"/>
    <w:rsid w:val="7F09267A"/>
    <w:rsid w:val="7F2B23E6"/>
    <w:rsid w:val="7F2B4123"/>
    <w:rsid w:val="7F3426C9"/>
    <w:rsid w:val="7F3E0944"/>
    <w:rsid w:val="7F3E5DC7"/>
    <w:rsid w:val="7F594F87"/>
    <w:rsid w:val="7F5C2ED4"/>
    <w:rsid w:val="7F5E061E"/>
    <w:rsid w:val="7F643B5C"/>
    <w:rsid w:val="7F8A3D01"/>
    <w:rsid w:val="7F8B6823"/>
    <w:rsid w:val="7F9B25D3"/>
    <w:rsid w:val="7F9C4EBD"/>
    <w:rsid w:val="7FAD310E"/>
    <w:rsid w:val="7FCD6742"/>
    <w:rsid w:val="7FE44850"/>
    <w:rsid w:val="7FE546A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121"/>
    <w:qFormat/>
    <w:uiPriority w:val="0"/>
    <w:pPr>
      <w:keepNext/>
      <w:keepLines/>
      <w:spacing w:line="440" w:lineRule="exact"/>
      <w:jc w:val="center"/>
      <w:outlineLvl w:val="0"/>
    </w:pPr>
    <w:rPr>
      <w:b/>
      <w:bCs/>
      <w:kern w:val="44"/>
      <w:sz w:val="44"/>
      <w:szCs w:val="44"/>
    </w:rPr>
  </w:style>
  <w:style w:type="paragraph" w:styleId="7">
    <w:name w:val="heading 2"/>
    <w:basedOn w:val="1"/>
    <w:next w:val="1"/>
    <w:link w:val="197"/>
    <w:qFormat/>
    <w:uiPriority w:val="0"/>
    <w:pPr>
      <w:keepNext/>
      <w:keepLines/>
      <w:spacing w:line="440" w:lineRule="exact"/>
      <w:jc w:val="left"/>
      <w:outlineLvl w:val="1"/>
    </w:pPr>
    <w:rPr>
      <w:rFonts w:ascii="Arial" w:hAnsi="Arial" w:eastAsia="黑体"/>
      <w:b/>
      <w:bCs/>
      <w:szCs w:val="32"/>
    </w:rPr>
  </w:style>
  <w:style w:type="paragraph" w:styleId="8">
    <w:name w:val="heading 3"/>
    <w:basedOn w:val="1"/>
    <w:next w:val="1"/>
    <w:link w:val="153"/>
    <w:autoRedefine/>
    <w:qFormat/>
    <w:uiPriority w:val="0"/>
    <w:pPr>
      <w:keepNext/>
      <w:keepLines/>
      <w:spacing w:line="415" w:lineRule="auto"/>
      <w:outlineLvl w:val="2"/>
    </w:pPr>
    <w:rPr>
      <w:b/>
      <w:bCs/>
      <w:kern w:val="0"/>
      <w:sz w:val="32"/>
      <w:szCs w:val="32"/>
    </w:rPr>
  </w:style>
  <w:style w:type="paragraph" w:styleId="9">
    <w:name w:val="heading 4"/>
    <w:basedOn w:val="1"/>
    <w:next w:val="1"/>
    <w:qFormat/>
    <w:uiPriority w:val="0"/>
    <w:pPr>
      <w:keepNext/>
      <w:keepLines/>
      <w:spacing w:line="374" w:lineRule="auto"/>
      <w:outlineLvl w:val="3"/>
    </w:pPr>
    <w:rPr>
      <w:rFonts w:ascii="Arial" w:hAnsi="Arial" w:eastAsia="黑体"/>
      <w:b/>
      <w:bCs/>
      <w:sz w:val="28"/>
      <w:szCs w:val="28"/>
    </w:rPr>
  </w:style>
  <w:style w:type="paragraph" w:styleId="10">
    <w:name w:val="heading 5"/>
    <w:basedOn w:val="1"/>
    <w:next w:val="1"/>
    <w:link w:val="130"/>
    <w:qFormat/>
    <w:uiPriority w:val="0"/>
    <w:pPr>
      <w:keepNext/>
      <w:keepLines/>
      <w:spacing w:line="376" w:lineRule="auto"/>
      <w:outlineLvl w:val="4"/>
    </w:pPr>
    <w:rPr>
      <w:b/>
      <w:bCs/>
      <w:sz w:val="28"/>
      <w:szCs w:val="28"/>
    </w:rPr>
  </w:style>
  <w:style w:type="paragraph" w:styleId="11">
    <w:name w:val="heading 6"/>
    <w:basedOn w:val="1"/>
    <w:next w:val="1"/>
    <w:autoRedefine/>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12">
    <w:name w:val="heading 7"/>
    <w:basedOn w:val="1"/>
    <w:next w:val="1"/>
    <w:qFormat/>
    <w:uiPriority w:val="0"/>
    <w:pPr>
      <w:keepNext/>
      <w:keepLines/>
      <w:widowControl/>
      <w:tabs>
        <w:tab w:val="left" w:pos="2520"/>
      </w:tabs>
      <w:spacing w:line="319" w:lineRule="auto"/>
      <w:ind w:left="1296" w:hanging="1296"/>
      <w:jc w:val="left"/>
      <w:outlineLvl w:val="6"/>
    </w:pPr>
    <w:rPr>
      <w:b/>
      <w:bCs/>
      <w:kern w:val="0"/>
      <w:sz w:val="24"/>
    </w:rPr>
  </w:style>
  <w:style w:type="paragraph" w:styleId="13">
    <w:name w:val="heading 8"/>
    <w:basedOn w:val="1"/>
    <w:next w:val="1"/>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4">
    <w:name w:val="heading 9"/>
    <w:basedOn w:val="1"/>
    <w:next w:val="1"/>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200" w:firstLineChars="200"/>
    </w:pPr>
    <w:rPr>
      <w:rFonts w:ascii="宋体"/>
      <w:szCs w:val="20"/>
    </w:rPr>
  </w:style>
  <w:style w:type="paragraph" w:styleId="3">
    <w:name w:val="Body Text Indent"/>
    <w:basedOn w:val="1"/>
    <w:next w:val="4"/>
    <w:qFormat/>
    <w:uiPriority w:val="0"/>
    <w:pPr>
      <w:ind w:left="42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5">
    <w:name w:val="table of authorities"/>
    <w:basedOn w:val="1"/>
    <w:next w:val="1"/>
    <w:unhideWhenUsed/>
    <w:qFormat/>
    <w:uiPriority w:val="0"/>
    <w:pPr>
      <w:ind w:left="420" w:leftChars="200"/>
    </w:pPr>
  </w:style>
  <w:style w:type="paragraph" w:styleId="16">
    <w:name w:val="Normal Indent"/>
    <w:basedOn w:val="1"/>
    <w:next w:val="2"/>
    <w:qFormat/>
    <w:uiPriority w:val="0"/>
    <w:pPr>
      <w:ind w:firstLine="420" w:firstLineChars="200"/>
    </w:pPr>
  </w:style>
  <w:style w:type="paragraph" w:styleId="17">
    <w:name w:val="Document Map"/>
    <w:basedOn w:val="1"/>
    <w:qFormat/>
    <w:uiPriority w:val="0"/>
    <w:pPr>
      <w:shd w:val="clear" w:color="auto" w:fill="000080"/>
    </w:pPr>
  </w:style>
  <w:style w:type="paragraph" w:styleId="18">
    <w:name w:val="annotation text"/>
    <w:basedOn w:val="1"/>
    <w:link w:val="113"/>
    <w:qFormat/>
    <w:uiPriority w:val="0"/>
    <w:pPr>
      <w:jc w:val="left"/>
    </w:pPr>
  </w:style>
  <w:style w:type="paragraph" w:styleId="19">
    <w:name w:val="Body Text 3"/>
    <w:basedOn w:val="1"/>
    <w:qFormat/>
    <w:uiPriority w:val="0"/>
    <w:rPr>
      <w:rFonts w:ascii="宋体"/>
      <w:sz w:val="24"/>
      <w:szCs w:val="20"/>
    </w:rPr>
  </w:style>
  <w:style w:type="paragraph" w:styleId="20">
    <w:name w:val="Body Text"/>
    <w:basedOn w:val="1"/>
    <w:link w:val="142"/>
    <w:autoRedefine/>
    <w:qFormat/>
    <w:uiPriority w:val="0"/>
  </w:style>
  <w:style w:type="paragraph" w:styleId="21">
    <w:name w:val="Block Text"/>
    <w:basedOn w:val="1"/>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qFormat/>
    <w:uiPriority w:val="39"/>
    <w:pPr>
      <w:ind w:left="840"/>
      <w:jc w:val="left"/>
    </w:pPr>
    <w:rPr>
      <w:sz w:val="18"/>
      <w:szCs w:val="18"/>
    </w:rPr>
  </w:style>
  <w:style w:type="paragraph" w:styleId="23">
    <w:name w:val="toc 3"/>
    <w:basedOn w:val="1"/>
    <w:next w:val="1"/>
    <w:qFormat/>
    <w:uiPriority w:val="39"/>
    <w:pPr>
      <w:ind w:left="420"/>
      <w:jc w:val="left"/>
    </w:pPr>
    <w:rPr>
      <w:i/>
      <w:iCs/>
      <w:sz w:val="20"/>
      <w:szCs w:val="20"/>
    </w:rPr>
  </w:style>
  <w:style w:type="paragraph" w:styleId="24">
    <w:name w:val="Plain Text"/>
    <w:basedOn w:val="1"/>
    <w:next w:val="1"/>
    <w:link w:val="137"/>
    <w:autoRedefine/>
    <w:qFormat/>
    <w:uiPriority w:val="0"/>
    <w:rPr>
      <w:rFonts w:ascii="Courier New" w:hAnsi="Courier New"/>
      <w:szCs w:val="20"/>
    </w:rPr>
  </w:style>
  <w:style w:type="paragraph" w:styleId="25">
    <w:name w:val="toc 8"/>
    <w:basedOn w:val="1"/>
    <w:next w:val="1"/>
    <w:autoRedefine/>
    <w:qFormat/>
    <w:uiPriority w:val="39"/>
    <w:pPr>
      <w:ind w:left="1470"/>
      <w:jc w:val="left"/>
    </w:pPr>
    <w:rPr>
      <w:sz w:val="18"/>
      <w:szCs w:val="18"/>
    </w:rPr>
  </w:style>
  <w:style w:type="paragraph" w:styleId="26">
    <w:name w:val="Date"/>
    <w:basedOn w:val="1"/>
    <w:next w:val="1"/>
    <w:qFormat/>
    <w:uiPriority w:val="0"/>
    <w:rPr>
      <w:sz w:val="24"/>
      <w:szCs w:val="20"/>
    </w:rPr>
  </w:style>
  <w:style w:type="paragraph" w:styleId="27">
    <w:name w:val="Body Text Indent 2"/>
    <w:basedOn w:val="1"/>
    <w:qFormat/>
    <w:uiPriority w:val="0"/>
    <w:pPr>
      <w:spacing w:line="360" w:lineRule="exact"/>
      <w:ind w:firstLine="600" w:firstLineChars="250"/>
      <w:jc w:val="left"/>
    </w:pPr>
    <w:rPr>
      <w:sz w:val="24"/>
    </w:rPr>
  </w:style>
  <w:style w:type="paragraph" w:styleId="28">
    <w:name w:val="Balloon Text"/>
    <w:basedOn w:val="1"/>
    <w:autoRedefine/>
    <w:qFormat/>
    <w:uiPriority w:val="0"/>
    <w:rPr>
      <w:sz w:val="18"/>
      <w:szCs w:val="18"/>
    </w:rPr>
  </w:style>
  <w:style w:type="paragraph" w:styleId="29">
    <w:name w:val="footer"/>
    <w:basedOn w:val="1"/>
    <w:next w:val="1"/>
    <w:autoRedefine/>
    <w:qFormat/>
    <w:uiPriority w:val="0"/>
    <w:pPr>
      <w:tabs>
        <w:tab w:val="center" w:pos="4153"/>
        <w:tab w:val="right" w:pos="8306"/>
      </w:tabs>
      <w:snapToGrid w:val="0"/>
      <w:jc w:val="left"/>
    </w:pPr>
    <w:rPr>
      <w:sz w:val="18"/>
      <w:szCs w:val="18"/>
    </w:rPr>
  </w:style>
  <w:style w:type="paragraph" w:styleId="3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jc w:val="left"/>
    </w:pPr>
    <w:rPr>
      <w:b/>
      <w:bCs/>
      <w:caps/>
      <w:sz w:val="20"/>
      <w:szCs w:val="20"/>
    </w:rPr>
  </w:style>
  <w:style w:type="paragraph" w:styleId="32">
    <w:name w:val="toc 4"/>
    <w:basedOn w:val="1"/>
    <w:next w:val="1"/>
    <w:qFormat/>
    <w:uiPriority w:val="39"/>
    <w:pPr>
      <w:ind w:left="630"/>
      <w:jc w:val="left"/>
    </w:pPr>
    <w:rPr>
      <w:sz w:val="18"/>
      <w:szCs w:val="18"/>
    </w:rPr>
  </w:style>
  <w:style w:type="paragraph" w:styleId="33">
    <w:name w:val="List"/>
    <w:basedOn w:val="1"/>
    <w:qFormat/>
    <w:uiPriority w:val="0"/>
    <w:pPr>
      <w:ind w:left="420" w:hanging="420"/>
    </w:pPr>
  </w:style>
  <w:style w:type="paragraph" w:styleId="34">
    <w:name w:val="footnote text"/>
    <w:basedOn w:val="1"/>
    <w:qFormat/>
    <w:uiPriority w:val="0"/>
    <w:rPr>
      <w:sz w:val="20"/>
      <w:szCs w:val="20"/>
    </w:rPr>
  </w:style>
  <w:style w:type="paragraph" w:styleId="35">
    <w:name w:val="toc 6"/>
    <w:basedOn w:val="1"/>
    <w:next w:val="1"/>
    <w:qFormat/>
    <w:uiPriority w:val="39"/>
    <w:pPr>
      <w:ind w:left="1050"/>
      <w:jc w:val="left"/>
    </w:pPr>
    <w:rPr>
      <w:sz w:val="18"/>
      <w:szCs w:val="18"/>
    </w:rPr>
  </w:style>
  <w:style w:type="paragraph" w:styleId="36">
    <w:name w:val="Body Text Indent 3"/>
    <w:basedOn w:val="1"/>
    <w:qFormat/>
    <w:uiPriority w:val="0"/>
    <w:pPr>
      <w:ind w:left="420" w:leftChars="200"/>
    </w:pPr>
    <w:rPr>
      <w:sz w:val="16"/>
      <w:szCs w:val="16"/>
    </w:rPr>
  </w:style>
  <w:style w:type="paragraph" w:styleId="37">
    <w:name w:val="table of figures"/>
    <w:basedOn w:val="1"/>
    <w:next w:val="1"/>
    <w:qFormat/>
    <w:uiPriority w:val="0"/>
    <w:pPr>
      <w:ind w:left="200" w:leftChars="200" w:hanging="200" w:hangingChars="200"/>
    </w:pPr>
  </w:style>
  <w:style w:type="paragraph" w:styleId="38">
    <w:name w:val="toc 2"/>
    <w:basedOn w:val="1"/>
    <w:next w:val="1"/>
    <w:qFormat/>
    <w:uiPriority w:val="39"/>
    <w:pPr>
      <w:ind w:left="210"/>
      <w:jc w:val="left"/>
    </w:pPr>
    <w:rPr>
      <w:smallCaps/>
      <w:sz w:val="20"/>
      <w:szCs w:val="20"/>
    </w:rPr>
  </w:style>
  <w:style w:type="paragraph" w:styleId="39">
    <w:name w:val="toc 9"/>
    <w:basedOn w:val="1"/>
    <w:next w:val="1"/>
    <w:autoRedefine/>
    <w:qFormat/>
    <w:uiPriority w:val="39"/>
    <w:pPr>
      <w:ind w:left="1680"/>
      <w:jc w:val="left"/>
    </w:pPr>
    <w:rPr>
      <w:sz w:val="18"/>
      <w:szCs w:val="18"/>
    </w:rPr>
  </w:style>
  <w:style w:type="paragraph" w:styleId="40">
    <w:name w:val="Body Text 2"/>
    <w:basedOn w:val="1"/>
    <w:autoRedefine/>
    <w:qFormat/>
    <w:uiPriority w:val="0"/>
    <w:pPr>
      <w:spacing w:line="440" w:lineRule="exact"/>
    </w:pPr>
    <w:rPr>
      <w:sz w:val="28"/>
    </w:rPr>
  </w:style>
  <w:style w:type="paragraph" w:styleId="41">
    <w:name w:val="HTML Preformatted"/>
    <w:basedOn w:val="1"/>
    <w:link w:val="11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2">
    <w:name w:val="Normal (Web)"/>
    <w:basedOn w:val="1"/>
    <w:next w:val="43"/>
    <w:autoRedefine/>
    <w:qFormat/>
    <w:uiPriority w:val="99"/>
    <w:pPr>
      <w:widowControl/>
      <w:spacing w:beforeAutospacing="1" w:afterAutospacing="1"/>
      <w:jc w:val="left"/>
    </w:pPr>
    <w:rPr>
      <w:rFonts w:ascii="宋体" w:hAnsi="宋体" w:cs="宋体"/>
      <w:kern w:val="0"/>
      <w:sz w:val="24"/>
    </w:rPr>
  </w:style>
  <w:style w:type="paragraph" w:customStyle="1" w:styleId="43">
    <w:name w:val="正文文字 8"/>
    <w:basedOn w:val="1"/>
    <w:next w:val="1"/>
    <w:autoRedefine/>
    <w:qFormat/>
    <w:uiPriority w:val="0"/>
    <w:pPr>
      <w:ind w:left="240"/>
    </w:pPr>
    <w:rPr>
      <w:sz w:val="16"/>
    </w:rPr>
  </w:style>
  <w:style w:type="paragraph" w:styleId="44">
    <w:name w:val="Title"/>
    <w:basedOn w:val="1"/>
    <w:autoRedefine/>
    <w:qFormat/>
    <w:uiPriority w:val="0"/>
    <w:pPr>
      <w:adjustRightInd w:val="0"/>
      <w:spacing w:line="420" w:lineRule="atLeast"/>
      <w:jc w:val="center"/>
      <w:textAlignment w:val="baseline"/>
      <w:outlineLvl w:val="0"/>
    </w:pPr>
    <w:rPr>
      <w:rFonts w:ascii="Arial" w:hAnsi="Arial"/>
      <w:b/>
      <w:kern w:val="0"/>
      <w:sz w:val="32"/>
      <w:szCs w:val="20"/>
    </w:rPr>
  </w:style>
  <w:style w:type="paragraph" w:styleId="45">
    <w:name w:val="annotation subject"/>
    <w:basedOn w:val="18"/>
    <w:next w:val="18"/>
    <w:autoRedefine/>
    <w:qFormat/>
    <w:uiPriority w:val="0"/>
    <w:rPr>
      <w:b/>
      <w:bCs/>
    </w:rPr>
  </w:style>
  <w:style w:type="paragraph" w:styleId="46">
    <w:name w:val="Body Text First Indent"/>
    <w:basedOn w:val="20"/>
    <w:autoRedefine/>
    <w:qFormat/>
    <w:uiPriority w:val="0"/>
    <w:pPr>
      <w:ind w:firstLine="420" w:firstLineChars="100"/>
    </w:pPr>
  </w:style>
  <w:style w:type="table" w:styleId="48">
    <w:name w:val="Table Grid"/>
    <w:basedOn w:val="4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basedOn w:val="49"/>
    <w:autoRedefine/>
    <w:qFormat/>
    <w:uiPriority w:val="0"/>
    <w:rPr>
      <w:b/>
      <w:bCs/>
    </w:rPr>
  </w:style>
  <w:style w:type="character" w:styleId="51">
    <w:name w:val="page number"/>
    <w:basedOn w:val="49"/>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color w:val="CC0033"/>
    </w:rPr>
  </w:style>
  <w:style w:type="character" w:styleId="54">
    <w:name w:val="HTML Definition"/>
    <w:autoRedefine/>
    <w:qFormat/>
    <w:uiPriority w:val="0"/>
  </w:style>
  <w:style w:type="character" w:styleId="55">
    <w:name w:val="HTML Typewriter"/>
    <w:autoRedefine/>
    <w:qFormat/>
    <w:uiPriority w:val="0"/>
    <w:rPr>
      <w:rFonts w:hint="default" w:ascii="monospace" w:hAnsi="monospace" w:eastAsia="monospace" w:cs="monospace"/>
      <w:sz w:val="20"/>
    </w:rPr>
  </w:style>
  <w:style w:type="character" w:styleId="56">
    <w:name w:val="HTML Acronym"/>
    <w:basedOn w:val="49"/>
    <w:autoRedefine/>
    <w:qFormat/>
    <w:uiPriority w:val="0"/>
  </w:style>
  <w:style w:type="character" w:styleId="57">
    <w:name w:val="HTML Variable"/>
    <w:autoRedefine/>
    <w:qFormat/>
    <w:uiPriority w:val="0"/>
  </w:style>
  <w:style w:type="character" w:styleId="58">
    <w:name w:val="Hyperlink"/>
    <w:basedOn w:val="49"/>
    <w:autoRedefine/>
    <w:qFormat/>
    <w:uiPriority w:val="99"/>
    <w:rPr>
      <w:color w:val="333333"/>
      <w:u w:val="none"/>
    </w:rPr>
  </w:style>
  <w:style w:type="character" w:styleId="59">
    <w:name w:val="HTML Code"/>
    <w:autoRedefine/>
    <w:qFormat/>
    <w:uiPriority w:val="0"/>
    <w:rPr>
      <w:rFonts w:hint="default" w:ascii="monospace" w:hAnsi="monospace" w:eastAsia="monospace" w:cs="monospace"/>
      <w:sz w:val="20"/>
    </w:rPr>
  </w:style>
  <w:style w:type="character" w:styleId="60">
    <w:name w:val="annotation reference"/>
    <w:autoRedefine/>
    <w:qFormat/>
    <w:uiPriority w:val="0"/>
    <w:rPr>
      <w:sz w:val="21"/>
      <w:szCs w:val="21"/>
    </w:rPr>
  </w:style>
  <w:style w:type="character" w:styleId="61">
    <w:name w:val="HTML Cite"/>
    <w:autoRedefine/>
    <w:qFormat/>
    <w:uiPriority w:val="0"/>
  </w:style>
  <w:style w:type="character" w:styleId="62">
    <w:name w:val="footnote reference"/>
    <w:autoRedefine/>
    <w:qFormat/>
    <w:uiPriority w:val="0"/>
    <w:rPr>
      <w:vertAlign w:val="superscript"/>
    </w:rPr>
  </w:style>
  <w:style w:type="character" w:styleId="63">
    <w:name w:val="HTML Keyboard"/>
    <w:autoRedefine/>
    <w:qFormat/>
    <w:uiPriority w:val="0"/>
    <w:rPr>
      <w:rFonts w:ascii="monospace" w:hAnsi="monospace" w:eastAsia="monospace" w:cs="monospace"/>
      <w:sz w:val="20"/>
    </w:rPr>
  </w:style>
  <w:style w:type="character" w:styleId="64">
    <w:name w:val="HTML Sample"/>
    <w:autoRedefine/>
    <w:qFormat/>
    <w:uiPriority w:val="0"/>
    <w:rPr>
      <w:rFonts w:hint="default" w:ascii="monospace" w:hAnsi="monospace" w:eastAsia="monospace" w:cs="monospace"/>
    </w:rPr>
  </w:style>
  <w:style w:type="character" w:customStyle="1" w:styleId="65">
    <w:name w:val="标题 2 Char"/>
    <w:autoRedefine/>
    <w:qFormat/>
    <w:uiPriority w:val="0"/>
    <w:rPr>
      <w:rFonts w:ascii="Arial" w:hAnsi="Arial" w:eastAsia="黑体"/>
      <w:b/>
      <w:bCs/>
      <w:kern w:val="2"/>
      <w:sz w:val="21"/>
      <w:szCs w:val="32"/>
      <w:lang w:val="en-US" w:eastAsia="zh-CN" w:bidi="ar-SA"/>
    </w:rPr>
  </w:style>
  <w:style w:type="paragraph" w:styleId="66">
    <w:name w:val="List Paragraph"/>
    <w:basedOn w:val="1"/>
    <w:autoRedefine/>
    <w:qFormat/>
    <w:uiPriority w:val="34"/>
    <w:pPr>
      <w:ind w:firstLine="420" w:firstLineChars="200"/>
    </w:pPr>
  </w:style>
  <w:style w:type="paragraph" w:customStyle="1" w:styleId="67">
    <w:name w:val="_Style 62"/>
    <w:basedOn w:val="1"/>
    <w:next w:val="1"/>
    <w:autoRedefine/>
    <w:qFormat/>
    <w:uiPriority w:val="0"/>
    <w:pPr>
      <w:pBdr>
        <w:top w:val="single" w:color="auto" w:sz="6" w:space="1"/>
      </w:pBdr>
      <w:jc w:val="center"/>
    </w:pPr>
    <w:rPr>
      <w:rFonts w:ascii="Arial"/>
      <w:vanish/>
      <w:sz w:val="16"/>
    </w:rPr>
  </w:style>
  <w:style w:type="paragraph" w:customStyle="1" w:styleId="68">
    <w:name w:val="Blockquote"/>
    <w:basedOn w:val="1"/>
    <w:autoRedefine/>
    <w:qFormat/>
    <w:uiPriority w:val="0"/>
    <w:pPr>
      <w:autoSpaceDE w:val="0"/>
      <w:autoSpaceDN w:val="0"/>
      <w:adjustRightInd w:val="0"/>
      <w:ind w:left="360" w:right="360"/>
      <w:jc w:val="left"/>
    </w:pPr>
    <w:rPr>
      <w:kern w:val="0"/>
      <w:sz w:val="24"/>
      <w:szCs w:val="20"/>
    </w:rPr>
  </w:style>
  <w:style w:type="paragraph" w:customStyle="1" w:styleId="69">
    <w:name w:val="表格"/>
    <w:basedOn w:val="1"/>
    <w:autoRedefine/>
    <w:qFormat/>
    <w:uiPriority w:val="0"/>
    <w:pPr>
      <w:jc w:val="center"/>
      <w:textAlignment w:val="center"/>
    </w:pPr>
    <w:rPr>
      <w:rFonts w:ascii="华文细黑" w:hAnsi="华文细黑"/>
      <w:kern w:val="0"/>
      <w:szCs w:val="20"/>
    </w:rPr>
  </w:style>
  <w:style w:type="paragraph" w:customStyle="1" w:styleId="70">
    <w:name w:val="表格文字"/>
    <w:basedOn w:val="1"/>
    <w:autoRedefine/>
    <w:qFormat/>
    <w:uiPriority w:val="0"/>
    <w:pPr>
      <w:adjustRightInd w:val="0"/>
      <w:spacing w:line="420" w:lineRule="atLeast"/>
      <w:jc w:val="left"/>
      <w:textAlignment w:val="baseline"/>
    </w:pPr>
    <w:rPr>
      <w:kern w:val="0"/>
      <w:szCs w:val="20"/>
    </w:rPr>
  </w:style>
  <w:style w:type="paragraph" w:customStyle="1" w:styleId="71">
    <w:name w:val="Char"/>
    <w:basedOn w:val="1"/>
    <w:next w:val="1"/>
    <w:autoRedefine/>
    <w:qFormat/>
    <w:uiPriority w:val="0"/>
    <w:pPr>
      <w:widowControl/>
      <w:spacing w:line="360" w:lineRule="auto"/>
      <w:jc w:val="left"/>
    </w:pPr>
    <w:rPr>
      <w:kern w:val="0"/>
      <w:szCs w:val="20"/>
      <w:lang w:eastAsia="en-US"/>
    </w:rPr>
  </w:style>
  <w:style w:type="paragraph" w:customStyle="1" w:styleId="72">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3">
    <w:name w:val="样式2"/>
    <w:basedOn w:val="8"/>
    <w:autoRedefine/>
    <w:qFormat/>
    <w:uiPriority w:val="0"/>
  </w:style>
  <w:style w:type="paragraph" w:customStyle="1" w:styleId="74">
    <w:name w:val="Default Paragraph Char Char Char Char"/>
    <w:basedOn w:val="1"/>
    <w:next w:val="1"/>
    <w:autoRedefine/>
    <w:qFormat/>
    <w:uiPriority w:val="0"/>
    <w:pPr>
      <w:spacing w:line="360" w:lineRule="auto"/>
    </w:pPr>
    <w:rPr>
      <w:szCs w:val="20"/>
    </w:rPr>
  </w:style>
  <w:style w:type="paragraph" w:customStyle="1" w:styleId="75">
    <w:name w:val="节标题"/>
    <w:basedOn w:val="1"/>
    <w:next w:val="1"/>
    <w:autoRedefine/>
    <w:qFormat/>
    <w:uiPriority w:val="0"/>
    <w:pPr>
      <w:widowControl/>
      <w:spacing w:line="289" w:lineRule="atLeast"/>
      <w:jc w:val="center"/>
      <w:textAlignment w:val="baseline"/>
    </w:pPr>
    <w:rPr>
      <w:color w:val="000000"/>
      <w:kern w:val="0"/>
      <w:sz w:val="28"/>
      <w:szCs w:val="20"/>
      <w:u w:color="000000"/>
    </w:rPr>
  </w:style>
  <w:style w:type="paragraph" w:customStyle="1" w:styleId="76">
    <w:name w:val="默认段落字体 Para Char Char Char Char"/>
    <w:basedOn w:val="1"/>
    <w:autoRedefine/>
    <w:qFormat/>
    <w:uiPriority w:val="0"/>
  </w:style>
  <w:style w:type="paragraph" w:customStyle="1" w:styleId="77">
    <w:name w:val="样式 标题 1 + 黑体 五号"/>
    <w:basedOn w:val="6"/>
    <w:autoRedefine/>
    <w:qFormat/>
    <w:uiPriority w:val="0"/>
    <w:pPr>
      <w:jc w:val="left"/>
    </w:pPr>
    <w:rPr>
      <w:rFonts w:ascii="黑体" w:hAnsi="黑体" w:eastAsia="黑体"/>
      <w:sz w:val="21"/>
    </w:rPr>
  </w:style>
  <w:style w:type="paragraph" w:customStyle="1" w:styleId="78">
    <w:name w:val="样式4"/>
    <w:basedOn w:val="8"/>
    <w:autoRedefine/>
    <w:qFormat/>
    <w:uiPriority w:val="0"/>
    <w:rPr>
      <w:rFonts w:eastAsia="Arial"/>
    </w:rPr>
  </w:style>
  <w:style w:type="paragraph" w:customStyle="1" w:styleId="79">
    <w:name w:val="正文1"/>
    <w:autoRedefine/>
    <w:qFormat/>
    <w:uiPriority w:val="0"/>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80">
    <w:name w:val="列出段落1"/>
    <w:basedOn w:val="1"/>
    <w:autoRedefine/>
    <w:qFormat/>
    <w:uiPriority w:val="0"/>
    <w:pPr>
      <w:ind w:firstLine="200" w:firstLineChars="200"/>
    </w:pPr>
  </w:style>
  <w:style w:type="paragraph" w:customStyle="1" w:styleId="81">
    <w:name w:val="p0 New"/>
    <w:basedOn w:val="1"/>
    <w:autoRedefine/>
    <w:qFormat/>
    <w:uiPriority w:val="0"/>
    <w:pPr>
      <w:widowControl/>
      <w:jc w:val="left"/>
    </w:pPr>
    <w:rPr>
      <w:rFonts w:ascii="宋体" w:hAnsi="宋体" w:cs="宋体"/>
      <w:kern w:val="0"/>
      <w:sz w:val="18"/>
      <w:szCs w:val="18"/>
    </w:rPr>
  </w:style>
  <w:style w:type="paragraph" w:customStyle="1" w:styleId="82">
    <w:name w:val="样式 标题 1 + 黑体 三号 非加粗 居中 段前: 6 磅 段后: 6 磅 行距: 固定值 20 磅"/>
    <w:basedOn w:val="6"/>
    <w:autoRedefine/>
    <w:qFormat/>
    <w:uiPriority w:val="0"/>
    <w:pPr>
      <w:spacing w:line="400" w:lineRule="exact"/>
    </w:pPr>
    <w:rPr>
      <w:rFonts w:ascii="黑体" w:hAnsi="黑体" w:eastAsia="黑体" w:cs="宋体"/>
      <w:b w:val="0"/>
      <w:bCs w:val="0"/>
      <w:sz w:val="32"/>
      <w:szCs w:val="20"/>
    </w:rPr>
  </w:style>
  <w:style w:type="paragraph" w:customStyle="1" w:styleId="83">
    <w:name w:val="_Style 78"/>
    <w:basedOn w:val="6"/>
    <w:next w:val="1"/>
    <w:autoRedefine/>
    <w:qFormat/>
    <w:uiPriority w:val="39"/>
    <w:pPr>
      <w:widowControl/>
      <w:spacing w:before="480" w:line="276" w:lineRule="auto"/>
      <w:jc w:val="left"/>
      <w:outlineLvl w:val="9"/>
    </w:pPr>
    <w:rPr>
      <w:rFonts w:ascii="Cambria" w:hAnsi="Cambria"/>
      <w:color w:val="365F91"/>
      <w:kern w:val="0"/>
      <w:sz w:val="28"/>
      <w:szCs w:val="28"/>
    </w:rPr>
  </w:style>
  <w:style w:type="paragraph" w:customStyle="1" w:styleId="84">
    <w:name w:val="Char1"/>
    <w:basedOn w:val="1"/>
    <w:autoRedefine/>
    <w:qFormat/>
    <w:uiPriority w:val="0"/>
    <w:pPr>
      <w:tabs>
        <w:tab w:val="left" w:pos="360"/>
      </w:tabs>
    </w:pPr>
    <w:rPr>
      <w:sz w:val="24"/>
    </w:rPr>
  </w:style>
  <w:style w:type="paragraph" w:customStyle="1" w:styleId="85">
    <w:name w:val="样式1"/>
    <w:basedOn w:val="8"/>
    <w:autoRedefine/>
    <w:qFormat/>
    <w:uiPriority w:val="0"/>
    <w:rPr>
      <w:rFonts w:eastAsia="Arial"/>
    </w:rPr>
  </w:style>
  <w:style w:type="paragraph" w:customStyle="1" w:styleId="86">
    <w:name w:val="Char Char Char Char Char Char Char Char Char Char Char Char Char"/>
    <w:basedOn w:val="1"/>
    <w:autoRedefine/>
    <w:qFormat/>
    <w:uiPriority w:val="0"/>
  </w:style>
  <w:style w:type="paragraph" w:customStyle="1" w:styleId="87">
    <w:name w:val="p"/>
    <w:basedOn w:val="1"/>
    <w:autoRedefine/>
    <w:qFormat/>
    <w:uiPriority w:val="0"/>
    <w:rPr>
      <w:rFonts w:ascii="宋体"/>
      <w:sz w:val="24"/>
    </w:rPr>
  </w:style>
  <w:style w:type="paragraph" w:customStyle="1" w:styleId="88">
    <w:name w:val="Char Char Char Char"/>
    <w:basedOn w:val="1"/>
    <w:autoRedefine/>
    <w:qFormat/>
    <w:uiPriority w:val="0"/>
  </w:style>
  <w:style w:type="paragraph" w:customStyle="1" w:styleId="89">
    <w:name w:val="_Style 84"/>
    <w:basedOn w:val="1"/>
    <w:next w:val="1"/>
    <w:autoRedefine/>
    <w:qFormat/>
    <w:uiPriority w:val="0"/>
    <w:pPr>
      <w:pBdr>
        <w:bottom w:val="single" w:color="auto" w:sz="6" w:space="1"/>
      </w:pBdr>
      <w:jc w:val="center"/>
    </w:pPr>
    <w:rPr>
      <w:rFonts w:ascii="Arial"/>
      <w:vanish/>
      <w:sz w:val="16"/>
    </w:rPr>
  </w:style>
  <w:style w:type="paragraph" w:customStyle="1" w:styleId="90">
    <w:name w:val="1"/>
    <w:basedOn w:val="1"/>
    <w:next w:val="1"/>
    <w:autoRedefine/>
    <w:qFormat/>
    <w:uiPriority w:val="0"/>
  </w:style>
  <w:style w:type="paragraph" w:customStyle="1" w:styleId="91">
    <w:name w:val="p15"/>
    <w:autoRedefine/>
    <w:qFormat/>
    <w:uiPriority w:val="0"/>
    <w:pPr>
      <w:jc w:val="both"/>
    </w:pPr>
    <w:rPr>
      <w:rFonts w:ascii="宋体" w:hAnsi="Times New Roman" w:eastAsia="宋体" w:cs="宋体"/>
      <w:sz w:val="21"/>
      <w:szCs w:val="21"/>
      <w:lang w:val="en-US" w:eastAsia="zh-CN" w:bidi="ar-SA"/>
    </w:rPr>
  </w:style>
  <w:style w:type="paragraph" w:customStyle="1" w:styleId="92">
    <w:name w:val="样式 标题 2 + Times New Roman 四号 非加粗 段前: 5 磅 段后: 0 磅 行距: 固定值 20..."/>
    <w:basedOn w:val="7"/>
    <w:autoRedefine/>
    <w:qFormat/>
    <w:uiPriority w:val="0"/>
    <w:pPr>
      <w:spacing w:line="400" w:lineRule="exact"/>
    </w:pPr>
    <w:rPr>
      <w:rFonts w:ascii="Times New Roman" w:hAnsi="Times New Roman" w:cs="宋体"/>
      <w:b w:val="0"/>
      <w:bCs w:val="0"/>
      <w:sz w:val="28"/>
      <w:szCs w:val="20"/>
    </w:rPr>
  </w:style>
  <w:style w:type="paragraph" w:customStyle="1" w:styleId="93">
    <w:name w:val="Table Paragraph"/>
    <w:basedOn w:val="1"/>
    <w:autoRedefine/>
    <w:qFormat/>
    <w:uiPriority w:val="0"/>
    <w:pPr>
      <w:autoSpaceDE w:val="0"/>
      <w:autoSpaceDN w:val="0"/>
      <w:jc w:val="left"/>
    </w:pPr>
    <w:rPr>
      <w:rFonts w:ascii="宋体" w:hAnsi="宋体" w:cs="宋体"/>
      <w:kern w:val="0"/>
      <w:sz w:val="22"/>
      <w:szCs w:val="22"/>
      <w:lang w:val="zh-CN"/>
    </w:rPr>
  </w:style>
  <w:style w:type="paragraph" w:customStyle="1" w:styleId="94">
    <w:name w:val="p0"/>
    <w:basedOn w:val="1"/>
    <w:autoRedefine/>
    <w:qFormat/>
    <w:uiPriority w:val="99"/>
    <w:pPr>
      <w:widowControl/>
    </w:pPr>
    <w:rPr>
      <w:kern w:val="0"/>
      <w:szCs w:val="21"/>
    </w:rPr>
  </w:style>
  <w:style w:type="paragraph" w:customStyle="1" w:styleId="95">
    <w:name w:val="样式3"/>
    <w:basedOn w:val="8"/>
    <w:autoRedefine/>
    <w:qFormat/>
    <w:uiPriority w:val="0"/>
    <w:rPr>
      <w:rFonts w:eastAsia="Arial"/>
    </w:rPr>
  </w:style>
  <w:style w:type="paragraph" w:customStyle="1" w:styleId="96">
    <w:name w:val="样式 标题 3 + (中文) 黑体 小四 非加粗 段前: 7.8 磅 段后: 0 磅 行距: 固定值 20 磅"/>
    <w:basedOn w:val="8"/>
    <w:autoRedefine/>
    <w:qFormat/>
    <w:uiPriority w:val="0"/>
    <w:pPr>
      <w:spacing w:line="400" w:lineRule="exact"/>
    </w:pPr>
    <w:rPr>
      <w:rFonts w:eastAsia="黑体" w:cs="宋体"/>
      <w:b w:val="0"/>
      <w:bCs w:val="0"/>
      <w:sz w:val="24"/>
      <w:szCs w:val="20"/>
    </w:rPr>
  </w:style>
  <w:style w:type="paragraph" w:customStyle="1" w:styleId="97">
    <w:name w:val="Char Char Char Char Char Char Char Char Char Char Char Char Char1"/>
    <w:basedOn w:val="1"/>
    <w:autoRedefine/>
    <w:qFormat/>
    <w:uiPriority w:val="0"/>
  </w:style>
  <w:style w:type="paragraph" w:customStyle="1" w:styleId="98">
    <w:name w:val="Char4"/>
    <w:basedOn w:val="1"/>
    <w:autoRedefine/>
    <w:qFormat/>
    <w:uiPriority w:val="0"/>
    <w:pPr>
      <w:widowControl/>
      <w:spacing w:line="360" w:lineRule="auto"/>
      <w:ind w:firstLine="200" w:firstLineChars="200"/>
      <w:textAlignment w:val="baseline"/>
    </w:pPr>
    <w:rPr>
      <w:color w:val="000000"/>
      <w:kern w:val="0"/>
      <w:szCs w:val="20"/>
      <w:u w:color="000000"/>
    </w:rPr>
  </w:style>
  <w:style w:type="paragraph" w:customStyle="1" w:styleId="99">
    <w:name w:val="正文2"/>
    <w:autoRedefine/>
    <w:qFormat/>
    <w:uiPriority w:val="0"/>
    <w:pPr>
      <w:widowControl w:val="0"/>
      <w:jc w:val="both"/>
    </w:pPr>
    <w:rPr>
      <w:rFonts w:ascii="Times New Roman" w:hAnsi="Times New Roman" w:eastAsia="宋体" w:cs="Times New Roman"/>
      <w:lang w:val="en-US" w:eastAsia="zh-CN" w:bidi="ar-SA"/>
    </w:rPr>
  </w:style>
  <w:style w:type="character" w:customStyle="1" w:styleId="100">
    <w:name w:val="first-child"/>
    <w:basedOn w:val="49"/>
    <w:autoRedefine/>
    <w:qFormat/>
    <w:uiPriority w:val="0"/>
  </w:style>
  <w:style w:type="character" w:customStyle="1" w:styleId="101">
    <w:name w:val="Char Char Char Char Char Char"/>
    <w:autoRedefine/>
    <w:qFormat/>
    <w:uiPriority w:val="0"/>
    <w:rPr>
      <w:rFonts w:ascii="Arial" w:hAnsi="Arial" w:eastAsia="黑体"/>
      <w:b/>
      <w:bCs/>
      <w:kern w:val="2"/>
      <w:sz w:val="32"/>
      <w:szCs w:val="32"/>
      <w:lang w:val="en-US" w:eastAsia="zh-CN" w:bidi="ar-SA"/>
    </w:rPr>
  </w:style>
  <w:style w:type="character" w:customStyle="1" w:styleId="102">
    <w:name w:val="l11"/>
    <w:autoRedefine/>
    <w:qFormat/>
    <w:uiPriority w:val="0"/>
    <w:rPr>
      <w:color w:val="999999"/>
    </w:rPr>
  </w:style>
  <w:style w:type="character" w:customStyle="1" w:styleId="103">
    <w:name w:val="Char Char"/>
    <w:autoRedefine/>
    <w:qFormat/>
    <w:uiPriority w:val="0"/>
    <w:rPr>
      <w:rFonts w:ascii="Arial" w:hAnsi="Arial" w:eastAsia="黑体"/>
      <w:b/>
      <w:bCs/>
      <w:kern w:val="2"/>
      <w:sz w:val="32"/>
      <w:szCs w:val="32"/>
      <w:lang w:val="en-US" w:eastAsia="zh-CN" w:bidi="ar-SA"/>
    </w:rPr>
  </w:style>
  <w:style w:type="character" w:customStyle="1" w:styleId="104">
    <w:name w:val="Char Char5"/>
    <w:autoRedefine/>
    <w:qFormat/>
    <w:uiPriority w:val="0"/>
    <w:rPr>
      <w:rFonts w:ascii="Arial" w:hAnsi="Arial" w:eastAsia="黑体"/>
      <w:b/>
      <w:bCs/>
      <w:kern w:val="2"/>
      <w:sz w:val="32"/>
      <w:szCs w:val="32"/>
    </w:rPr>
  </w:style>
  <w:style w:type="character" w:customStyle="1" w:styleId="105">
    <w:name w:val="msg-box28"/>
    <w:basedOn w:val="49"/>
    <w:autoRedefine/>
    <w:qFormat/>
    <w:uiPriority w:val="0"/>
  </w:style>
  <w:style w:type="character" w:customStyle="1" w:styleId="106">
    <w:name w:val="img_title6"/>
    <w:autoRedefine/>
    <w:qFormat/>
    <w:uiPriority w:val="0"/>
    <w:rPr>
      <w:vanish/>
    </w:rPr>
  </w:style>
  <w:style w:type="character" w:customStyle="1" w:styleId="107">
    <w:name w:val="tit12"/>
    <w:autoRedefine/>
    <w:qFormat/>
    <w:uiPriority w:val="0"/>
    <w:rPr>
      <w:color w:val="04A06C"/>
    </w:rPr>
  </w:style>
  <w:style w:type="character" w:customStyle="1" w:styleId="108">
    <w:name w:val="Char Char2"/>
    <w:autoRedefine/>
    <w:qFormat/>
    <w:uiPriority w:val="0"/>
    <w:rPr>
      <w:rFonts w:eastAsia="宋体"/>
      <w:kern w:val="2"/>
      <w:sz w:val="21"/>
      <w:szCs w:val="24"/>
      <w:lang w:val="en-US" w:eastAsia="zh-CN" w:bidi="ar-SA"/>
    </w:rPr>
  </w:style>
  <w:style w:type="character" w:customStyle="1" w:styleId="109">
    <w:name w:val="nostart"/>
    <w:autoRedefine/>
    <w:qFormat/>
    <w:uiPriority w:val="0"/>
    <w:rPr>
      <w:color w:val="FF0000"/>
    </w:rPr>
  </w:style>
  <w:style w:type="character" w:customStyle="1" w:styleId="110">
    <w:name w:val="nostart3"/>
    <w:basedOn w:val="49"/>
    <w:autoRedefine/>
    <w:qFormat/>
    <w:uiPriority w:val="0"/>
  </w:style>
  <w:style w:type="character" w:customStyle="1" w:styleId="111">
    <w:name w:val="img4"/>
    <w:basedOn w:val="49"/>
    <w:autoRedefine/>
    <w:qFormat/>
    <w:uiPriority w:val="0"/>
  </w:style>
  <w:style w:type="character" w:customStyle="1" w:styleId="112">
    <w:name w:val="tit11"/>
    <w:autoRedefine/>
    <w:qFormat/>
    <w:uiPriority w:val="0"/>
    <w:rPr>
      <w:color w:val="B60000"/>
    </w:rPr>
  </w:style>
  <w:style w:type="character" w:customStyle="1" w:styleId="113">
    <w:name w:val="批注文字 Char"/>
    <w:link w:val="18"/>
    <w:autoRedefine/>
    <w:qFormat/>
    <w:uiPriority w:val="0"/>
    <w:rPr>
      <w:rFonts w:eastAsia="宋体"/>
      <w:kern w:val="2"/>
      <w:sz w:val="21"/>
      <w:szCs w:val="24"/>
      <w:lang w:val="en-US" w:eastAsia="zh-CN" w:bidi="ar-SA"/>
    </w:rPr>
  </w:style>
  <w:style w:type="character" w:customStyle="1" w:styleId="114">
    <w:name w:val="over"/>
    <w:autoRedefine/>
    <w:qFormat/>
    <w:uiPriority w:val="0"/>
    <w:rPr>
      <w:color w:val="B60000"/>
    </w:rPr>
  </w:style>
  <w:style w:type="character" w:customStyle="1" w:styleId="115">
    <w:name w:val="HTML 预设格式 Char"/>
    <w:link w:val="41"/>
    <w:autoRedefine/>
    <w:qFormat/>
    <w:uiPriority w:val="0"/>
    <w:rPr>
      <w:rFonts w:ascii="宋体" w:hAnsi="宋体" w:cs="宋体"/>
      <w:sz w:val="24"/>
      <w:szCs w:val="24"/>
    </w:rPr>
  </w:style>
  <w:style w:type="character" w:customStyle="1" w:styleId="116">
    <w:name w:val="l6"/>
    <w:autoRedefine/>
    <w:qFormat/>
    <w:uiPriority w:val="0"/>
    <w:rPr>
      <w:color w:val="999999"/>
    </w:rPr>
  </w:style>
  <w:style w:type="character" w:customStyle="1" w:styleId="117">
    <w:name w:val="datetime"/>
    <w:autoRedefine/>
    <w:qFormat/>
    <w:uiPriority w:val="0"/>
    <w:rPr>
      <w:rFonts w:hint="default" w:ascii="Arial" w:hAnsi="Arial" w:cs="Arial"/>
      <w:color w:val="999999"/>
      <w:sz w:val="21"/>
      <w:szCs w:val="21"/>
    </w:rPr>
  </w:style>
  <w:style w:type="character" w:customStyle="1" w:styleId="118">
    <w:name w:val="txt1"/>
    <w:basedOn w:val="49"/>
    <w:autoRedefine/>
    <w:qFormat/>
    <w:uiPriority w:val="0"/>
  </w:style>
  <w:style w:type="character" w:customStyle="1" w:styleId="119">
    <w:name w:val="starting1"/>
    <w:autoRedefine/>
    <w:qFormat/>
    <w:uiPriority w:val="0"/>
    <w:rPr>
      <w:color w:val="339900"/>
    </w:rPr>
  </w:style>
  <w:style w:type="character" w:customStyle="1" w:styleId="120">
    <w:name w:val="starting2"/>
    <w:autoRedefine/>
    <w:qFormat/>
    <w:uiPriority w:val="0"/>
    <w:rPr>
      <w:color w:val="B60000"/>
    </w:rPr>
  </w:style>
  <w:style w:type="character" w:customStyle="1" w:styleId="121">
    <w:name w:val="标题 1 Char"/>
    <w:link w:val="6"/>
    <w:autoRedefine/>
    <w:qFormat/>
    <w:uiPriority w:val="0"/>
    <w:rPr>
      <w:rFonts w:eastAsia="宋体"/>
      <w:b/>
      <w:bCs/>
      <w:kern w:val="44"/>
      <w:sz w:val="44"/>
      <w:szCs w:val="44"/>
      <w:lang w:val="en-US" w:eastAsia="zh-CN" w:bidi="ar-SA"/>
    </w:rPr>
  </w:style>
  <w:style w:type="character" w:customStyle="1" w:styleId="122">
    <w:name w:val="red"/>
    <w:autoRedefine/>
    <w:qFormat/>
    <w:uiPriority w:val="0"/>
    <w:rPr>
      <w:rFonts w:hint="default" w:ascii="Arial" w:hAnsi="Arial" w:cs="Arial"/>
      <w:color w:val="E50000"/>
    </w:rPr>
  </w:style>
  <w:style w:type="character" w:customStyle="1" w:styleId="123">
    <w:name w:val="Char Char4"/>
    <w:autoRedefine/>
    <w:qFormat/>
    <w:uiPriority w:val="0"/>
    <w:rPr>
      <w:rFonts w:eastAsia="宋体"/>
      <w:b/>
      <w:bCs/>
      <w:kern w:val="44"/>
      <w:sz w:val="44"/>
      <w:szCs w:val="44"/>
      <w:lang w:val="en-US" w:eastAsia="zh-CN" w:bidi="ar-SA"/>
    </w:rPr>
  </w:style>
  <w:style w:type="character" w:customStyle="1" w:styleId="124">
    <w:name w:val="font161"/>
    <w:autoRedefine/>
    <w:qFormat/>
    <w:uiPriority w:val="0"/>
    <w:rPr>
      <w:b/>
      <w:bCs/>
      <w:sz w:val="32"/>
      <w:szCs w:val="32"/>
    </w:rPr>
  </w:style>
  <w:style w:type="character" w:customStyle="1" w:styleId="125">
    <w:name w:val="Char Char8"/>
    <w:autoRedefine/>
    <w:qFormat/>
    <w:uiPriority w:val="0"/>
    <w:rPr>
      <w:rFonts w:ascii="Arial" w:hAnsi="Arial" w:eastAsia="黑体"/>
      <w:b/>
      <w:bCs/>
      <w:kern w:val="2"/>
      <w:sz w:val="32"/>
      <w:szCs w:val="32"/>
      <w:lang w:val="en-US" w:eastAsia="zh-CN" w:bidi="ar-SA"/>
    </w:rPr>
  </w:style>
  <w:style w:type="character" w:customStyle="1" w:styleId="126">
    <w:name w:val="msg-box29"/>
    <w:basedOn w:val="49"/>
    <w:autoRedefine/>
    <w:qFormat/>
    <w:uiPriority w:val="0"/>
  </w:style>
  <w:style w:type="character" w:customStyle="1" w:styleId="127">
    <w:name w:val="over2"/>
    <w:autoRedefine/>
    <w:qFormat/>
    <w:uiPriority w:val="0"/>
    <w:rPr>
      <w:color w:val="999999"/>
    </w:rPr>
  </w:style>
  <w:style w:type="character" w:customStyle="1" w:styleId="128">
    <w:name w:val="img_title7"/>
    <w:autoRedefine/>
    <w:qFormat/>
    <w:uiPriority w:val="0"/>
    <w:rPr>
      <w:vanish/>
    </w:rPr>
  </w:style>
  <w:style w:type="character" w:customStyle="1" w:styleId="129">
    <w:name w:val="l7"/>
    <w:autoRedefine/>
    <w:qFormat/>
    <w:uiPriority w:val="0"/>
    <w:rPr>
      <w:color w:val="999999"/>
    </w:rPr>
  </w:style>
  <w:style w:type="character" w:customStyle="1" w:styleId="130">
    <w:name w:val="标题 5 Char"/>
    <w:link w:val="10"/>
    <w:autoRedefine/>
    <w:qFormat/>
    <w:uiPriority w:val="0"/>
    <w:rPr>
      <w:b/>
      <w:bCs/>
      <w:kern w:val="2"/>
      <w:sz w:val="28"/>
      <w:szCs w:val="28"/>
    </w:rPr>
  </w:style>
  <w:style w:type="character" w:customStyle="1" w:styleId="131">
    <w:name w:val="l51"/>
    <w:autoRedefine/>
    <w:qFormat/>
    <w:uiPriority w:val="0"/>
    <w:rPr>
      <w:color w:val="999999"/>
    </w:rPr>
  </w:style>
  <w:style w:type="character" w:customStyle="1" w:styleId="132">
    <w:name w:val="num81"/>
    <w:basedOn w:val="49"/>
    <w:autoRedefine/>
    <w:qFormat/>
    <w:uiPriority w:val="0"/>
  </w:style>
  <w:style w:type="character" w:customStyle="1" w:styleId="133">
    <w:name w:val="Char Char1"/>
    <w:autoRedefine/>
    <w:qFormat/>
    <w:uiPriority w:val="0"/>
    <w:rPr>
      <w:rFonts w:eastAsia="宋体"/>
      <w:kern w:val="2"/>
      <w:sz w:val="21"/>
      <w:szCs w:val="24"/>
      <w:lang w:val="en-US" w:eastAsia="zh-CN" w:bidi="ar-SA"/>
    </w:rPr>
  </w:style>
  <w:style w:type="character" w:customStyle="1" w:styleId="134">
    <w:name w:val="zs"/>
    <w:autoRedefine/>
    <w:qFormat/>
    <w:uiPriority w:val="0"/>
    <w:rPr>
      <w:color w:val="8D744B"/>
      <w:sz w:val="18"/>
      <w:szCs w:val="18"/>
    </w:rPr>
  </w:style>
  <w:style w:type="character" w:customStyle="1" w:styleId="135">
    <w:name w:val="bigfont"/>
    <w:basedOn w:val="49"/>
    <w:autoRedefine/>
    <w:qFormat/>
    <w:uiPriority w:val="0"/>
  </w:style>
  <w:style w:type="character" w:customStyle="1" w:styleId="136">
    <w:name w:val="txt"/>
    <w:autoRedefine/>
    <w:qFormat/>
    <w:uiPriority w:val="0"/>
    <w:rPr>
      <w:color w:val="C0C0C0"/>
    </w:rPr>
  </w:style>
  <w:style w:type="character" w:customStyle="1" w:styleId="137">
    <w:name w:val="纯文本 Char2"/>
    <w:link w:val="24"/>
    <w:autoRedefine/>
    <w:qFormat/>
    <w:uiPriority w:val="0"/>
    <w:rPr>
      <w:rFonts w:ascii="Courier New" w:hAnsi="Courier New" w:eastAsia="宋体"/>
      <w:kern w:val="2"/>
      <w:sz w:val="21"/>
      <w:lang w:val="en-US" w:eastAsia="zh-CN" w:bidi="ar-SA"/>
    </w:rPr>
  </w:style>
  <w:style w:type="character" w:customStyle="1" w:styleId="138">
    <w:name w:val="jg"/>
    <w:basedOn w:val="49"/>
    <w:autoRedefine/>
    <w:qFormat/>
    <w:uiPriority w:val="0"/>
  </w:style>
  <w:style w:type="character" w:customStyle="1" w:styleId="139">
    <w:name w:val="17"/>
    <w:autoRedefine/>
    <w:qFormat/>
    <w:uiPriority w:val="0"/>
    <w:rPr>
      <w:rFonts w:ascii="仿宋_GB2312" w:eastAsia="仿宋_GB2312"/>
      <w:color w:val="auto"/>
      <w:sz w:val="28"/>
      <w:szCs w:val="28"/>
      <w:u w:val="single"/>
    </w:rPr>
  </w:style>
  <w:style w:type="character" w:customStyle="1" w:styleId="140">
    <w:name w:val="job"/>
    <w:basedOn w:val="49"/>
    <w:autoRedefine/>
    <w:qFormat/>
    <w:uiPriority w:val="0"/>
  </w:style>
  <w:style w:type="character" w:customStyle="1" w:styleId="141">
    <w:name w:val="job1"/>
    <w:basedOn w:val="49"/>
    <w:autoRedefine/>
    <w:qFormat/>
    <w:uiPriority w:val="0"/>
  </w:style>
  <w:style w:type="character" w:customStyle="1" w:styleId="142">
    <w:name w:val="正文文本 Char"/>
    <w:link w:val="20"/>
    <w:autoRedefine/>
    <w:qFormat/>
    <w:uiPriority w:val="0"/>
    <w:rPr>
      <w:rFonts w:eastAsia="宋体"/>
      <w:kern w:val="2"/>
      <w:sz w:val="21"/>
      <w:szCs w:val="24"/>
      <w:lang w:val="en-US" w:eastAsia="zh-CN" w:bidi="ar-SA"/>
    </w:rPr>
  </w:style>
  <w:style w:type="character" w:customStyle="1" w:styleId="143">
    <w:name w:val="p05"/>
    <w:basedOn w:val="49"/>
    <w:autoRedefine/>
    <w:qFormat/>
    <w:uiPriority w:val="0"/>
  </w:style>
  <w:style w:type="character" w:customStyle="1" w:styleId="144">
    <w:name w:val="Char Char7"/>
    <w:autoRedefine/>
    <w:qFormat/>
    <w:uiPriority w:val="0"/>
    <w:rPr>
      <w:rFonts w:ascii="Arial" w:hAnsi="Arial" w:eastAsia="黑体"/>
      <w:b/>
      <w:bCs/>
      <w:kern w:val="2"/>
      <w:sz w:val="32"/>
      <w:szCs w:val="32"/>
      <w:lang w:val="en-US" w:eastAsia="zh-CN" w:bidi="ar-SA"/>
    </w:rPr>
  </w:style>
  <w:style w:type="character" w:customStyle="1" w:styleId="145">
    <w:name w:val="over3"/>
    <w:basedOn w:val="49"/>
    <w:autoRedefine/>
    <w:qFormat/>
    <w:uiPriority w:val="0"/>
  </w:style>
  <w:style w:type="character" w:customStyle="1" w:styleId="146">
    <w:name w:val="Char Char3"/>
    <w:autoRedefine/>
    <w:qFormat/>
    <w:uiPriority w:val="0"/>
    <w:rPr>
      <w:rFonts w:ascii="Arial" w:hAnsi="Arial" w:eastAsia="黑体"/>
      <w:b/>
      <w:bCs/>
      <w:kern w:val="2"/>
      <w:sz w:val="32"/>
      <w:szCs w:val="32"/>
      <w:lang w:val="en-US" w:eastAsia="zh-CN" w:bidi="ar-SA"/>
    </w:rPr>
  </w:style>
  <w:style w:type="character" w:customStyle="1" w:styleId="147">
    <w:name w:val="Char Char71"/>
    <w:autoRedefine/>
    <w:qFormat/>
    <w:uiPriority w:val="0"/>
    <w:rPr>
      <w:rFonts w:ascii="Arial" w:hAnsi="Arial" w:eastAsia="黑体"/>
      <w:b/>
      <w:bCs/>
      <w:kern w:val="2"/>
      <w:sz w:val="32"/>
      <w:szCs w:val="32"/>
      <w:lang w:val="en-US" w:eastAsia="zh-CN" w:bidi="ar-SA"/>
    </w:rPr>
  </w:style>
  <w:style w:type="character" w:customStyle="1" w:styleId="148">
    <w:name w:val="num51"/>
    <w:basedOn w:val="49"/>
    <w:autoRedefine/>
    <w:qFormat/>
    <w:uiPriority w:val="0"/>
  </w:style>
  <w:style w:type="character" w:customStyle="1" w:styleId="149">
    <w:name w:val="Char Char Char"/>
    <w:autoRedefine/>
    <w:qFormat/>
    <w:uiPriority w:val="0"/>
    <w:rPr>
      <w:rFonts w:eastAsia="宋体"/>
      <w:b/>
      <w:bCs/>
      <w:kern w:val="44"/>
      <w:sz w:val="44"/>
      <w:szCs w:val="44"/>
      <w:lang w:val="en-US" w:eastAsia="zh-CN" w:bidi="ar-SA"/>
    </w:rPr>
  </w:style>
  <w:style w:type="character" w:customStyle="1" w:styleId="150">
    <w:name w:val="msg-box31"/>
    <w:basedOn w:val="49"/>
    <w:autoRedefine/>
    <w:qFormat/>
    <w:uiPriority w:val="0"/>
  </w:style>
  <w:style w:type="character" w:customStyle="1" w:styleId="151">
    <w:name w:val="msg-box30"/>
    <w:basedOn w:val="49"/>
    <w:autoRedefine/>
    <w:qFormat/>
    <w:uiPriority w:val="0"/>
  </w:style>
  <w:style w:type="character" w:customStyle="1" w:styleId="152">
    <w:name w:val="标题 1 Char Char"/>
    <w:autoRedefine/>
    <w:qFormat/>
    <w:uiPriority w:val="0"/>
    <w:rPr>
      <w:rFonts w:eastAsia="宋体"/>
      <w:b/>
      <w:bCs/>
      <w:kern w:val="44"/>
      <w:sz w:val="44"/>
      <w:szCs w:val="44"/>
      <w:lang w:val="en-US" w:eastAsia="zh-CN" w:bidi="ar-SA"/>
    </w:rPr>
  </w:style>
  <w:style w:type="character" w:customStyle="1" w:styleId="153">
    <w:name w:val="标题 3 Char"/>
    <w:link w:val="8"/>
    <w:autoRedefine/>
    <w:qFormat/>
    <w:uiPriority w:val="0"/>
    <w:rPr>
      <w:b/>
      <w:bCs/>
      <w:sz w:val="32"/>
      <w:szCs w:val="32"/>
    </w:rPr>
  </w:style>
  <w:style w:type="character" w:customStyle="1" w:styleId="154">
    <w:name w:val="c1"/>
    <w:basedOn w:val="49"/>
    <w:autoRedefine/>
    <w:qFormat/>
    <w:uiPriority w:val="0"/>
  </w:style>
  <w:style w:type="character" w:customStyle="1" w:styleId="155">
    <w:name w:val="纯文本 Char1"/>
    <w:autoRedefine/>
    <w:qFormat/>
    <w:uiPriority w:val="0"/>
    <w:rPr>
      <w:rFonts w:ascii="Courier New" w:hAnsi="Courier New" w:eastAsia="宋体"/>
      <w:kern w:val="2"/>
      <w:sz w:val="21"/>
      <w:lang w:val="en-US" w:eastAsia="zh-CN" w:bidi="ar-SA"/>
    </w:rPr>
  </w:style>
  <w:style w:type="character" w:customStyle="1" w:styleId="156">
    <w:name w:val="Char Char Char1"/>
    <w:autoRedefine/>
    <w:qFormat/>
    <w:uiPriority w:val="0"/>
    <w:rPr>
      <w:rFonts w:ascii="Arial" w:hAnsi="Arial" w:eastAsia="黑体"/>
      <w:b/>
      <w:bCs/>
      <w:kern w:val="2"/>
      <w:sz w:val="32"/>
      <w:szCs w:val="32"/>
      <w:lang w:val="en-US" w:eastAsia="zh-CN" w:bidi="ar-SA"/>
    </w:rPr>
  </w:style>
  <w:style w:type="character" w:customStyle="1" w:styleId="157">
    <w:name w:val="l3"/>
    <w:autoRedefine/>
    <w:qFormat/>
    <w:uiPriority w:val="0"/>
    <w:rPr>
      <w:color w:val="999999"/>
    </w:rPr>
  </w:style>
  <w:style w:type="character" w:customStyle="1" w:styleId="158">
    <w:name w:val="tit14"/>
    <w:autoRedefine/>
    <w:qFormat/>
    <w:uiPriority w:val="0"/>
    <w:rPr>
      <w:color w:val="B60000"/>
    </w:rPr>
  </w:style>
  <w:style w:type="character" w:customStyle="1" w:styleId="159">
    <w:name w:val="tit10"/>
    <w:autoRedefine/>
    <w:qFormat/>
    <w:uiPriority w:val="0"/>
    <w:rPr>
      <w:color w:val="B60000"/>
    </w:rPr>
  </w:style>
  <w:style w:type="character" w:customStyle="1" w:styleId="160">
    <w:name w:val="l21"/>
    <w:autoRedefine/>
    <w:qFormat/>
    <w:uiPriority w:val="0"/>
    <w:rPr>
      <w:color w:val="999999"/>
    </w:rPr>
  </w:style>
  <w:style w:type="character" w:customStyle="1" w:styleId="161">
    <w:name w:val="num71"/>
    <w:basedOn w:val="49"/>
    <w:autoRedefine/>
    <w:qFormat/>
    <w:uiPriority w:val="0"/>
  </w:style>
  <w:style w:type="character" w:customStyle="1" w:styleId="162">
    <w:name w:val="标题 2 Char Char"/>
    <w:autoRedefine/>
    <w:qFormat/>
    <w:uiPriority w:val="0"/>
    <w:rPr>
      <w:rFonts w:ascii="Arial" w:hAnsi="Arial" w:eastAsia="黑体"/>
      <w:b/>
      <w:bCs/>
      <w:kern w:val="2"/>
      <w:sz w:val="32"/>
      <w:szCs w:val="32"/>
      <w:lang w:val="en-US" w:eastAsia="zh-CN" w:bidi="ar-SA"/>
    </w:rPr>
  </w:style>
  <w:style w:type="character" w:customStyle="1" w:styleId="163">
    <w:name w:val="buvis"/>
    <w:autoRedefine/>
    <w:qFormat/>
    <w:uiPriority w:val="0"/>
    <w:rPr>
      <w:color w:val="999999"/>
    </w:rPr>
  </w:style>
  <w:style w:type="character" w:customStyle="1" w:styleId="164">
    <w:name w:val="name"/>
    <w:autoRedefine/>
    <w:qFormat/>
    <w:uiPriority w:val="0"/>
    <w:rPr>
      <w:color w:val="444444"/>
      <w:sz w:val="21"/>
      <w:szCs w:val="21"/>
    </w:rPr>
  </w:style>
  <w:style w:type="character" w:customStyle="1" w:styleId="165">
    <w:name w:val="layui-this"/>
    <w:autoRedefine/>
    <w:qFormat/>
    <w:uiPriority w:val="0"/>
    <w:rPr>
      <w:bdr w:val="single" w:color="EEEEEE" w:sz="6" w:space="0"/>
      <w:shd w:val="clear" w:color="auto" w:fill="FFFFFF"/>
    </w:rPr>
  </w:style>
  <w:style w:type="character" w:customStyle="1" w:styleId="166">
    <w:name w:val="标题 2 Char1"/>
    <w:autoRedefine/>
    <w:qFormat/>
    <w:uiPriority w:val="0"/>
    <w:rPr>
      <w:rFonts w:ascii="Arial" w:hAnsi="Arial" w:eastAsia="黑体"/>
      <w:b/>
      <w:bCs/>
      <w:kern w:val="2"/>
      <w:sz w:val="32"/>
      <w:szCs w:val="32"/>
      <w:lang w:val="en-US" w:eastAsia="zh-CN" w:bidi="ar-SA"/>
    </w:rPr>
  </w:style>
  <w:style w:type="character" w:customStyle="1" w:styleId="167">
    <w:name w:val="zw"/>
    <w:autoRedefine/>
    <w:qFormat/>
    <w:uiPriority w:val="0"/>
    <w:rPr>
      <w:color w:val="BD1E22"/>
      <w:sz w:val="22"/>
      <w:szCs w:val="22"/>
    </w:rPr>
  </w:style>
  <w:style w:type="character" w:customStyle="1" w:styleId="168">
    <w:name w:val="name1"/>
    <w:autoRedefine/>
    <w:qFormat/>
    <w:uiPriority w:val="0"/>
    <w:rPr>
      <w:color w:val="695435"/>
      <w:sz w:val="24"/>
      <w:szCs w:val="24"/>
    </w:rPr>
  </w:style>
  <w:style w:type="character" w:customStyle="1" w:styleId="169">
    <w:name w:val="num61"/>
    <w:basedOn w:val="49"/>
    <w:autoRedefine/>
    <w:qFormat/>
    <w:uiPriority w:val="0"/>
  </w:style>
  <w:style w:type="character" w:customStyle="1" w:styleId="170">
    <w:name w:val="mesg-myd"/>
    <w:autoRedefine/>
    <w:qFormat/>
    <w:uiPriority w:val="0"/>
    <w:rPr>
      <w:color w:val="EE0000"/>
    </w:rPr>
  </w:style>
  <w:style w:type="character" w:customStyle="1" w:styleId="171">
    <w:name w:val="c2"/>
    <w:basedOn w:val="49"/>
    <w:autoRedefine/>
    <w:qFormat/>
    <w:uiPriority w:val="0"/>
  </w:style>
  <w:style w:type="character" w:customStyle="1" w:styleId="172">
    <w:name w:val="c3"/>
    <w:basedOn w:val="49"/>
    <w:autoRedefine/>
    <w:qFormat/>
    <w:uiPriority w:val="0"/>
  </w:style>
  <w:style w:type="character" w:customStyle="1" w:styleId="173">
    <w:name w:val="over1"/>
    <w:autoRedefine/>
    <w:qFormat/>
    <w:uiPriority w:val="0"/>
    <w:rPr>
      <w:color w:val="B60000"/>
    </w:rPr>
  </w:style>
  <w:style w:type="character" w:customStyle="1" w:styleId="174">
    <w:name w:val="tit13"/>
    <w:autoRedefine/>
    <w:qFormat/>
    <w:uiPriority w:val="0"/>
    <w:rPr>
      <w:color w:val="FFFFFF"/>
    </w:rPr>
  </w:style>
  <w:style w:type="character" w:customStyle="1" w:styleId="175">
    <w:name w:val="Char Char21"/>
    <w:autoRedefine/>
    <w:qFormat/>
    <w:uiPriority w:val="0"/>
    <w:rPr>
      <w:rFonts w:eastAsia="宋体"/>
      <w:kern w:val="2"/>
      <w:sz w:val="21"/>
      <w:szCs w:val="24"/>
      <w:lang w:val="en-US" w:eastAsia="zh-CN" w:bidi="ar-SA"/>
    </w:rPr>
  </w:style>
  <w:style w:type="character" w:customStyle="1" w:styleId="176">
    <w:name w:val="l41"/>
    <w:autoRedefine/>
    <w:qFormat/>
    <w:uiPriority w:val="0"/>
    <w:rPr>
      <w:color w:val="999999"/>
    </w:rPr>
  </w:style>
  <w:style w:type="character" w:customStyle="1" w:styleId="177">
    <w:name w:val="16"/>
    <w:autoRedefine/>
    <w:qFormat/>
    <w:uiPriority w:val="0"/>
    <w:rPr>
      <w:rFonts w:ascii="仿宋_GB2312" w:eastAsia="仿宋_GB2312"/>
      <w:color w:val="auto"/>
      <w:sz w:val="28"/>
      <w:szCs w:val="28"/>
    </w:rPr>
  </w:style>
  <w:style w:type="character" w:customStyle="1" w:styleId="178">
    <w:name w:val="num31"/>
    <w:basedOn w:val="49"/>
    <w:autoRedefine/>
    <w:qFormat/>
    <w:uiPriority w:val="0"/>
  </w:style>
  <w:style w:type="character" w:customStyle="1" w:styleId="179">
    <w:name w:val="starting4"/>
    <w:basedOn w:val="49"/>
    <w:autoRedefine/>
    <w:qFormat/>
    <w:uiPriority w:val="0"/>
  </w:style>
  <w:style w:type="character" w:customStyle="1" w:styleId="180">
    <w:name w:val="bsharetext"/>
    <w:basedOn w:val="49"/>
    <w:autoRedefine/>
    <w:qFormat/>
    <w:uiPriority w:val="0"/>
  </w:style>
  <w:style w:type="character" w:customStyle="1" w:styleId="181">
    <w:name w:val="unit"/>
    <w:autoRedefine/>
    <w:qFormat/>
    <w:uiPriority w:val="0"/>
    <w:rPr>
      <w:color w:val="999999"/>
    </w:rPr>
  </w:style>
  <w:style w:type="character" w:customStyle="1" w:styleId="182">
    <w:name w:val="nostart2"/>
    <w:autoRedefine/>
    <w:qFormat/>
    <w:uiPriority w:val="0"/>
    <w:rPr>
      <w:color w:val="B60000"/>
    </w:rPr>
  </w:style>
  <w:style w:type="character" w:customStyle="1" w:styleId="183">
    <w:name w:val="纯文本 Char"/>
    <w:autoRedefine/>
    <w:qFormat/>
    <w:uiPriority w:val="99"/>
    <w:rPr>
      <w:rFonts w:ascii="Courier New" w:hAnsi="Courier New" w:eastAsia="宋体"/>
      <w:kern w:val="2"/>
      <w:sz w:val="21"/>
      <w:lang w:val="en-US" w:eastAsia="zh-CN" w:bidi="ar-SA"/>
    </w:rPr>
  </w:style>
  <w:style w:type="character" w:customStyle="1" w:styleId="184">
    <w:name w:val="Char Char81"/>
    <w:autoRedefine/>
    <w:qFormat/>
    <w:uiPriority w:val="0"/>
    <w:rPr>
      <w:rFonts w:ascii="Arial" w:hAnsi="Arial" w:eastAsia="黑体"/>
      <w:b/>
      <w:bCs/>
      <w:kern w:val="2"/>
      <w:sz w:val="32"/>
      <w:szCs w:val="32"/>
      <w:lang w:val="en-US" w:eastAsia="zh-CN" w:bidi="ar-SA"/>
    </w:rPr>
  </w:style>
  <w:style w:type="character" w:customStyle="1" w:styleId="185">
    <w:name w:val="starting"/>
    <w:autoRedefine/>
    <w:qFormat/>
    <w:uiPriority w:val="0"/>
    <w:rPr>
      <w:color w:val="339900"/>
    </w:rPr>
  </w:style>
  <w:style w:type="character" w:customStyle="1" w:styleId="186">
    <w:name w:val="nostart1"/>
    <w:autoRedefine/>
    <w:qFormat/>
    <w:uiPriority w:val="0"/>
    <w:rPr>
      <w:color w:val="FF0000"/>
    </w:rPr>
  </w:style>
  <w:style w:type="character" w:customStyle="1" w:styleId="187">
    <w:name w:val="num210"/>
    <w:basedOn w:val="49"/>
    <w:autoRedefine/>
    <w:qFormat/>
    <w:uiPriority w:val="0"/>
  </w:style>
  <w:style w:type="character" w:customStyle="1" w:styleId="188">
    <w:name w:val="buvis1"/>
    <w:autoRedefine/>
    <w:qFormat/>
    <w:uiPriority w:val="0"/>
    <w:rPr>
      <w:color w:val="CC0000"/>
    </w:rPr>
  </w:style>
  <w:style w:type="character" w:customStyle="1" w:styleId="189">
    <w:name w:val="starting3"/>
    <w:basedOn w:val="49"/>
    <w:autoRedefine/>
    <w:qFormat/>
    <w:uiPriority w:val="0"/>
  </w:style>
  <w:style w:type="character" w:customStyle="1" w:styleId="190">
    <w:name w:val="textcontents"/>
    <w:basedOn w:val="49"/>
    <w:autoRedefine/>
    <w:qFormat/>
    <w:uiPriority w:val="0"/>
  </w:style>
  <w:style w:type="character" w:customStyle="1" w:styleId="191">
    <w:name w:val="num41"/>
    <w:basedOn w:val="49"/>
    <w:autoRedefine/>
    <w:qFormat/>
    <w:uiPriority w:val="0"/>
  </w:style>
  <w:style w:type="character" w:customStyle="1" w:styleId="192">
    <w:name w:val="tit9"/>
    <w:autoRedefine/>
    <w:qFormat/>
    <w:uiPriority w:val="0"/>
    <w:rPr>
      <w:color w:val="B60000"/>
      <w:sz w:val="27"/>
      <w:szCs w:val="27"/>
      <w:bdr w:val="single" w:color="DFCEB8" w:sz="6" w:space="0"/>
      <w:shd w:val="clear" w:color="auto" w:fill="FFFFFF"/>
    </w:rPr>
  </w:style>
  <w:style w:type="character" w:customStyle="1" w:styleId="193">
    <w:name w:val="name2"/>
    <w:autoRedefine/>
    <w:qFormat/>
    <w:uiPriority w:val="0"/>
    <w:rPr>
      <w:color w:val="000000"/>
      <w:sz w:val="39"/>
      <w:szCs w:val="39"/>
    </w:rPr>
  </w:style>
  <w:style w:type="character" w:customStyle="1" w:styleId="194">
    <w:name w:val="img_title8"/>
    <w:autoRedefine/>
    <w:qFormat/>
    <w:uiPriority w:val="0"/>
    <w:rPr>
      <w:vanish/>
    </w:rPr>
  </w:style>
  <w:style w:type="character" w:customStyle="1" w:styleId="195">
    <w:name w:val="tit15"/>
    <w:autoRedefine/>
    <w:qFormat/>
    <w:uiPriority w:val="0"/>
    <w:rPr>
      <w:b/>
      <w:color w:val="B60000"/>
    </w:rPr>
  </w:style>
  <w:style w:type="character" w:customStyle="1" w:styleId="196">
    <w:name w:val="img_title9"/>
    <w:autoRedefine/>
    <w:qFormat/>
    <w:uiPriority w:val="0"/>
    <w:rPr>
      <w:vanish/>
    </w:rPr>
  </w:style>
  <w:style w:type="character" w:customStyle="1" w:styleId="197">
    <w:name w:val="标题 2 Char2"/>
    <w:link w:val="7"/>
    <w:autoRedefine/>
    <w:qFormat/>
    <w:uiPriority w:val="0"/>
    <w:rPr>
      <w:rFonts w:ascii="Arial" w:hAnsi="Arial" w:eastAsia="黑体"/>
      <w:b/>
      <w:bCs/>
      <w:kern w:val="2"/>
      <w:sz w:val="21"/>
      <w:szCs w:val="32"/>
      <w:lang w:val="en-US" w:eastAsia="zh-CN" w:bidi="ar-SA"/>
    </w:rPr>
  </w:style>
  <w:style w:type="paragraph" w:customStyle="1" w:styleId="19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character" w:customStyle="1" w:styleId="199">
    <w:name w:val="font12"/>
    <w:basedOn w:val="49"/>
    <w:autoRedefine/>
    <w:qFormat/>
    <w:uiPriority w:val="0"/>
    <w:rPr>
      <w:rFonts w:hint="eastAsia" w:ascii="仿宋" w:hAnsi="仿宋" w:eastAsia="仿宋" w:cs="仿宋"/>
      <w:b/>
      <w:color w:val="000000"/>
      <w:sz w:val="32"/>
      <w:szCs w:val="32"/>
      <w:u w:val="none"/>
    </w:rPr>
  </w:style>
  <w:style w:type="character" w:customStyle="1" w:styleId="200">
    <w:name w:val="font101"/>
    <w:basedOn w:val="49"/>
    <w:autoRedefine/>
    <w:qFormat/>
    <w:uiPriority w:val="0"/>
    <w:rPr>
      <w:rFonts w:hint="default" w:ascii="Times New Roman" w:hAnsi="Times New Roman" w:cs="Times New Roman"/>
      <w:color w:val="000000"/>
      <w:sz w:val="24"/>
      <w:szCs w:val="24"/>
      <w:u w:val="none"/>
    </w:rPr>
  </w:style>
  <w:style w:type="character" w:customStyle="1" w:styleId="201">
    <w:name w:val="font111"/>
    <w:basedOn w:val="49"/>
    <w:autoRedefine/>
    <w:qFormat/>
    <w:uiPriority w:val="0"/>
    <w:rPr>
      <w:rFonts w:ascii="仿宋_GB2312" w:eastAsia="仿宋_GB2312" w:cs="仿宋_GB2312"/>
      <w:color w:val="000000"/>
      <w:sz w:val="24"/>
      <w:szCs w:val="24"/>
      <w:u w:val="none"/>
    </w:rPr>
  </w:style>
  <w:style w:type="character" w:customStyle="1" w:styleId="202">
    <w:name w:val="font91"/>
    <w:basedOn w:val="49"/>
    <w:autoRedefine/>
    <w:qFormat/>
    <w:uiPriority w:val="0"/>
    <w:rPr>
      <w:rFonts w:hint="eastAsia" w:ascii="仿宋" w:hAnsi="仿宋" w:eastAsia="仿宋" w:cs="仿宋"/>
      <w:color w:val="000000"/>
      <w:sz w:val="24"/>
      <w:szCs w:val="24"/>
      <w:u w:val="single"/>
    </w:rPr>
  </w:style>
  <w:style w:type="character" w:customStyle="1" w:styleId="203">
    <w:name w:val="font81"/>
    <w:basedOn w:val="49"/>
    <w:autoRedefine/>
    <w:qFormat/>
    <w:uiPriority w:val="0"/>
    <w:rPr>
      <w:rFonts w:hint="default" w:ascii="Times New Roman" w:hAnsi="Times New Roman" w:cs="Times New Roman"/>
      <w:color w:val="000000"/>
      <w:sz w:val="24"/>
      <w:szCs w:val="24"/>
      <w:u w:val="none"/>
    </w:rPr>
  </w:style>
  <w:style w:type="character" w:customStyle="1" w:styleId="204">
    <w:name w:val="font61"/>
    <w:basedOn w:val="49"/>
    <w:autoRedefine/>
    <w:qFormat/>
    <w:uiPriority w:val="0"/>
    <w:rPr>
      <w:rFonts w:hint="eastAsia" w:ascii="仿宋_GB2312" w:eastAsia="仿宋_GB2312" w:cs="仿宋_GB2312"/>
      <w:color w:val="000000"/>
      <w:sz w:val="24"/>
      <w:szCs w:val="24"/>
      <w:u w:val="none"/>
    </w:rPr>
  </w:style>
  <w:style w:type="character" w:customStyle="1" w:styleId="205">
    <w:name w:val="font21"/>
    <w:basedOn w:val="49"/>
    <w:autoRedefine/>
    <w:qFormat/>
    <w:uiPriority w:val="0"/>
    <w:rPr>
      <w:rFonts w:hint="default" w:ascii="Times New Roman" w:hAnsi="Times New Roman" w:cs="Times New Roman"/>
      <w:color w:val="000000"/>
      <w:sz w:val="24"/>
      <w:szCs w:val="24"/>
      <w:u w:val="none"/>
    </w:rPr>
  </w:style>
  <w:style w:type="character" w:customStyle="1" w:styleId="206">
    <w:name w:val="NormalCharacter"/>
    <w:autoRedefine/>
    <w:semiHidden/>
    <w:qFormat/>
    <w:uiPriority w:val="0"/>
    <w:rPr>
      <w:snapToGrid w:val="0"/>
      <w:kern w:val="0"/>
      <w:sz w:val="32"/>
      <w:szCs w:val="32"/>
      <w:lang w:val="en-US" w:eastAsia="zh-CN" w:bidi="ar-SA"/>
    </w:rPr>
  </w:style>
  <w:style w:type="character" w:customStyle="1" w:styleId="207">
    <w:name w:val="first-child1"/>
    <w:basedOn w:val="49"/>
    <w:autoRedefine/>
    <w:qFormat/>
    <w:uiPriority w:val="0"/>
  </w:style>
  <w:style w:type="character" w:customStyle="1" w:styleId="208">
    <w:name w:val="hover1"/>
    <w:basedOn w:val="49"/>
    <w:autoRedefine/>
    <w:qFormat/>
    <w:uiPriority w:val="0"/>
    <w:rPr>
      <w:color w:val="2590EB"/>
    </w:rPr>
  </w:style>
  <w:style w:type="character" w:customStyle="1" w:styleId="209">
    <w:name w:val="hover2"/>
    <w:basedOn w:val="49"/>
    <w:autoRedefine/>
    <w:qFormat/>
    <w:uiPriority w:val="0"/>
  </w:style>
  <w:style w:type="character" w:customStyle="1" w:styleId="210">
    <w:name w:val="hover3"/>
    <w:basedOn w:val="49"/>
    <w:autoRedefine/>
    <w:qFormat/>
    <w:uiPriority w:val="0"/>
    <w:rPr>
      <w:color w:val="2590EB"/>
    </w:rPr>
  </w:style>
  <w:style w:type="character" w:customStyle="1" w:styleId="211">
    <w:name w:val="hover4"/>
    <w:basedOn w:val="49"/>
    <w:autoRedefine/>
    <w:qFormat/>
    <w:uiPriority w:val="0"/>
    <w:rPr>
      <w:color w:val="2590EB"/>
      <w:shd w:val="clear" w:fill="E9F4FD"/>
    </w:rPr>
  </w:style>
  <w:style w:type="character" w:customStyle="1" w:styleId="212">
    <w:name w:val="mini-outputtext1"/>
    <w:basedOn w:val="49"/>
    <w:autoRedefine/>
    <w:qFormat/>
    <w:uiPriority w:val="0"/>
  </w:style>
  <w:style w:type="character" w:customStyle="1" w:styleId="213">
    <w:name w:val="hover"/>
    <w:basedOn w:val="49"/>
    <w:autoRedefine/>
    <w:qFormat/>
    <w:uiPriority w:val="0"/>
    <w:rPr>
      <w:color w:val="2590EB"/>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47</Pages>
  <Words>16827</Words>
  <Characters>17672</Characters>
  <Lines>411</Lines>
  <Paragraphs>115</Paragraphs>
  <TotalTime>9</TotalTime>
  <ScaleCrop>false</ScaleCrop>
  <LinksUpToDate>false</LinksUpToDate>
  <CharactersWithSpaces>18345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2016-05-15T08:29:00Z</dcterms:created>
  <dc:creator>dengxiaochun</dc:creator>
  <cp:lastModifiedBy>张小蒙</cp:lastModifiedBy>
  <cp:lastPrinted>2025-07-11T00:47:00Z</cp:lastPrinted>
  <dcterms:modified xsi:type="dcterms:W3CDTF">2025-08-08T10:11:04Z</dcterms:modified>
  <dc:title>标准交易文件</dc:title>
  <cp:revision>328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A8ECFAC8E7B54601BC299464DE905405_13</vt:lpwstr>
  </property>
  <property fmtid="{D5CDD505-2E9C-101B-9397-08002B2CF9AE}" pid="4" name="KSOTemplateDocerSaveRecord">
    <vt:lpwstr>eyJoZGlkIjoiMDk2MmQyNTdjMmYyM2I4Njk3YjVkOTliYjhhNDZiYTEiLCJ1c2VySWQiOiI0MDkyMjI1MTkifQ==</vt:lpwstr>
  </property>
</Properties>
</file>